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43179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46C3442B">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4C1B018F">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127EE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C5ED375">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5CE32E95">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4098DF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29586EA1">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37</w:t>
            </w:r>
            <w:r>
              <w:fldChar w:fldCharType="end"/>
            </w:r>
            <w:bookmarkEnd w:id="3"/>
          </w:p>
        </w:tc>
      </w:tr>
    </w:tbl>
    <w:p w14:paraId="43B375EF">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山东省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56C01FF9">
      <w:pPr>
        <w:pStyle w:val="195"/>
        <w:rPr>
          <w:lang w:val="fr-FR"/>
        </w:rPr>
      </w:pPr>
      <w:r>
        <w:rPr>
          <w:rFonts w:ascii="Times New Roman"/>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rPr>
        <w:t>37</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23977E9B">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05E0D069">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CA8064B">
      <w:pPr>
        <w:pStyle w:val="50"/>
        <w:framePr w:w="9639" w:h="6976" w:hRule="exact" w:hSpace="0" w:vSpace="0" w:wrap="around" w:hAnchor="page" w:y="6408"/>
        <w:jc w:val="center"/>
        <w:rPr>
          <w:rFonts w:hint="eastAsia" w:ascii="黑体" w:hAnsi="黑体" w:eastAsia="黑体"/>
          <w:b w:val="0"/>
          <w:bCs w:val="0"/>
          <w:w w:val="100"/>
        </w:rPr>
      </w:pPr>
    </w:p>
    <w:p w14:paraId="75061CEC">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地理标志产品</w:t>
      </w:r>
      <w:r>
        <w:rPr>
          <w:rFonts w:hint="eastAsia"/>
          <w:lang w:val="en-US" w:eastAsia="zh-CN"/>
        </w:rPr>
        <w:t xml:space="preserve">    </w:t>
      </w:r>
      <w:bookmarkStart w:id="67" w:name="_GoBack"/>
      <w:bookmarkEnd w:id="67"/>
      <w:r>
        <w:rPr>
          <w:rFonts w:hint="eastAsia"/>
        </w:rPr>
        <w:t>泰山红茶</w:t>
      </w:r>
      <w:r>
        <w:fldChar w:fldCharType="end"/>
      </w:r>
      <w:bookmarkEnd w:id="9"/>
    </w:p>
    <w:p w14:paraId="069073FD">
      <w:pPr>
        <w:framePr w:w="9639" w:h="6974" w:hRule="exact" w:wrap="around" w:vAnchor="page" w:hAnchor="page" w:x="1419" w:y="6408" w:anchorLock="1"/>
        <w:ind w:left="-1418"/>
      </w:pPr>
    </w:p>
    <w:p w14:paraId="6EBE53E6">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 xml:space="preserve">Qualityrequirementsforproductofgeographicalindication—Taishan black tea </w:t>
      </w:r>
      <w:r>
        <w:rPr>
          <w:rFonts w:eastAsia="黑体"/>
          <w:szCs w:val="28"/>
        </w:rPr>
        <w:fldChar w:fldCharType="end"/>
      </w:r>
      <w:bookmarkEnd w:id="10"/>
    </w:p>
    <w:p w14:paraId="16A59817">
      <w:pPr>
        <w:framePr w:w="9639" w:h="6974" w:hRule="exact" w:wrap="around" w:vAnchor="page" w:hAnchor="page" w:x="1419" w:y="6408" w:anchorLock="1"/>
        <w:spacing w:line="760" w:lineRule="exact"/>
        <w:ind w:left="-1418"/>
      </w:pPr>
    </w:p>
    <w:p w14:paraId="69C875CE">
      <w:pPr>
        <w:pStyle w:val="125"/>
        <w:framePr w:w="9639" w:h="6974" w:hRule="exact" w:wrap="around" w:vAnchor="page" w:hAnchor="page" w:x="1419" w:y="6408" w:anchorLock="1"/>
        <w:textAlignment w:val="bottom"/>
        <w:rPr>
          <w:rFonts w:eastAsia="黑体"/>
          <w:szCs w:val="28"/>
        </w:rPr>
      </w:pPr>
    </w:p>
    <w:p w14:paraId="4A5C5CAB">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2"/>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545BD720">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6258B9A5">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00D6D2AD">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4C5CE142">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223A737A">
      <w:pPr>
        <w:pStyle w:val="151"/>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int="eastAsia" w:hAnsi="黑体"/>
          <w:w w:val="100"/>
          <w:sz w:val="28"/>
        </w:rPr>
        <w:t>山东省市场监督管理局</w:t>
      </w:r>
      <w:r>
        <w:rPr>
          <w:rFonts w:hAnsi="黑体"/>
          <w:w w:val="100"/>
          <w:sz w:val="28"/>
        </w:rPr>
        <w:t>   </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376CCDBD">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641D8AE6">
      <w:pPr>
        <w:pStyle w:val="89"/>
        <w:spacing w:before="560" w:after="468"/>
      </w:pPr>
      <w:bookmarkStart w:id="21" w:name="BookMark2"/>
      <w:r>
        <w:rPr>
          <w:rFonts w:hint="eastAsia"/>
          <w:spacing w:val="320"/>
        </w:rPr>
        <w:t>前</w:t>
      </w:r>
      <w:r>
        <w:rPr>
          <w:rFonts w:hint="eastAsia"/>
        </w:rPr>
        <w:t>言</w:t>
      </w:r>
    </w:p>
    <w:p w14:paraId="5C667F15">
      <w:pPr>
        <w:pStyle w:val="56"/>
        <w:ind w:firstLine="420"/>
      </w:pPr>
      <w:bookmarkStart w:id="22" w:name="_Hlk217033182"/>
      <w:r>
        <w:rPr>
          <w:rFonts w:hint="eastAsia"/>
        </w:rPr>
        <w:t>本文件按照GB/T 1.1—2020《标准化工作导则  第1部分：标准化文件的结构和起草规则》的规定起草。</w:t>
      </w:r>
    </w:p>
    <w:p w14:paraId="63262730">
      <w:pPr>
        <w:pStyle w:val="56"/>
        <w:ind w:firstLine="420"/>
      </w:pPr>
      <w:r>
        <w:rPr>
          <w:rFonts w:hint="eastAsia"/>
        </w:rPr>
        <w:t>本文件规定了食品质量相关技术要求,食品安全相关要求见有关法律法规、政策和食品安全标准等</w:t>
      </w:r>
    </w:p>
    <w:p w14:paraId="49BA3F1E">
      <w:pPr>
        <w:pStyle w:val="56"/>
        <w:ind w:firstLine="420"/>
      </w:pPr>
      <w:r>
        <w:rPr>
          <w:rFonts w:hint="eastAsia"/>
        </w:rPr>
        <w:t>文件。</w:t>
      </w:r>
    </w:p>
    <w:p w14:paraId="09144435">
      <w:pPr>
        <w:pStyle w:val="56"/>
        <w:ind w:firstLine="420"/>
      </w:pPr>
      <w:r>
        <w:rPr>
          <w:rFonts w:hint="eastAsia"/>
        </w:rPr>
        <w:t>请注意本文件的某些内容可能涉及专利。本文件的发布机构不承担识别专利的责任。</w:t>
      </w:r>
    </w:p>
    <w:p w14:paraId="698964B7">
      <w:pPr>
        <w:pStyle w:val="56"/>
        <w:ind w:firstLine="420"/>
      </w:pPr>
      <w:r>
        <w:rPr>
          <w:rFonts w:hint="eastAsia"/>
        </w:rPr>
        <w:t>本文件由山东省市场监督管理局提出。</w:t>
      </w:r>
    </w:p>
    <w:p w14:paraId="56E9BAEA">
      <w:pPr>
        <w:pStyle w:val="56"/>
        <w:ind w:firstLine="420"/>
      </w:pPr>
      <w:r>
        <w:rPr>
          <w:rFonts w:hint="eastAsia"/>
        </w:rPr>
        <w:t>本文件由山东省地理标志标准化技术委员会归口。</w:t>
      </w:r>
    </w:p>
    <w:p w14:paraId="5FB47534">
      <w:pPr>
        <w:pStyle w:val="56"/>
        <w:ind w:firstLine="420"/>
      </w:pPr>
      <w:r>
        <w:rPr>
          <w:rFonts w:hint="eastAsia"/>
        </w:rPr>
        <w:t>本文件起草单位：</w:t>
      </w:r>
      <w:r>
        <w:t xml:space="preserve"> </w:t>
      </w:r>
    </w:p>
    <w:p w14:paraId="29012FB2">
      <w:pPr>
        <w:pStyle w:val="56"/>
        <w:ind w:firstLine="420"/>
      </w:pPr>
      <w:r>
        <w:rPr>
          <w:rFonts w:hint="eastAsia"/>
        </w:rPr>
        <w:t>本文件主要起草人：</w:t>
      </w:r>
    </w:p>
    <w:bookmarkEnd w:id="22"/>
    <w:p w14:paraId="2D8F9768">
      <w:pPr>
        <w:pStyle w:val="56"/>
        <w:ind w:firstLine="420"/>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p>
    <w:bookmarkEnd w:id="21"/>
    <w:p w14:paraId="78B03F27">
      <w:pPr>
        <w:spacing w:line="20" w:lineRule="exact"/>
        <w:jc w:val="center"/>
        <w:rPr>
          <w:rFonts w:hint="eastAsia" w:ascii="黑体" w:hAnsi="黑体" w:eastAsia="黑体"/>
          <w:sz w:val="32"/>
          <w:szCs w:val="32"/>
        </w:rPr>
      </w:pPr>
      <w:bookmarkStart w:id="23" w:name="BookMark4"/>
    </w:p>
    <w:p w14:paraId="1C73BB39">
      <w:pPr>
        <w:spacing w:line="20" w:lineRule="exact"/>
        <w:jc w:val="center"/>
        <w:rPr>
          <w:rFonts w:hint="eastAsia" w:ascii="黑体" w:hAnsi="黑体" w:eastAsia="黑体"/>
          <w:sz w:val="32"/>
          <w:szCs w:val="32"/>
        </w:rPr>
      </w:pPr>
    </w:p>
    <w:sdt>
      <w:sdtPr>
        <w:tag w:val="NEW_STAND_NAME"/>
        <w:id w:val="595910757"/>
        <w:lock w:val="sdtLocked"/>
        <w:placeholder>
          <w:docPart w:val="7D0C9F034DDB43BCA921E83C025A607A"/>
        </w:placeholder>
      </w:sdtPr>
      <w:sdtContent>
        <w:p w14:paraId="1EE23D85">
          <w:pPr>
            <w:pStyle w:val="177"/>
            <w:spacing w:before="312" w:beforeLines="100" w:after="686" w:afterLines="220"/>
            <w:rPr>
              <w:rFonts w:hint="eastAsia"/>
            </w:rPr>
          </w:pPr>
          <w:bookmarkStart w:id="24" w:name="NEW_STAND_NAME"/>
          <w:r>
            <w:rPr>
              <w:rFonts w:hint="eastAsia"/>
            </w:rPr>
            <w:t>地理标志产品质量要求 泰山红茶</w:t>
          </w:r>
        </w:p>
      </w:sdtContent>
    </w:sdt>
    <w:bookmarkEnd w:id="24"/>
    <w:p w14:paraId="685ED98D">
      <w:pPr>
        <w:pStyle w:val="104"/>
        <w:spacing w:before="312" w:after="312"/>
      </w:pPr>
      <w:bookmarkStart w:id="25" w:name="_Toc26986530"/>
      <w:bookmarkStart w:id="26" w:name="_Toc26986771"/>
      <w:bookmarkStart w:id="27" w:name="_Toc24884218"/>
      <w:bookmarkStart w:id="28" w:name="_Toc17233325"/>
      <w:bookmarkStart w:id="29" w:name="_Toc26648465"/>
      <w:bookmarkStart w:id="30" w:name="_Toc17233333"/>
      <w:bookmarkStart w:id="31" w:name="_Toc97191423"/>
      <w:bookmarkStart w:id="32" w:name="_Toc24884211"/>
      <w:bookmarkStart w:id="33" w:name="_Toc26718930"/>
      <w:r>
        <w:rPr>
          <w:rFonts w:hint="eastAsia"/>
        </w:rPr>
        <w:t>范围</w:t>
      </w:r>
      <w:bookmarkEnd w:id="25"/>
      <w:bookmarkEnd w:id="26"/>
      <w:bookmarkEnd w:id="27"/>
      <w:bookmarkEnd w:id="28"/>
      <w:bookmarkEnd w:id="29"/>
      <w:bookmarkEnd w:id="30"/>
      <w:bookmarkEnd w:id="31"/>
      <w:bookmarkEnd w:id="32"/>
      <w:bookmarkEnd w:id="33"/>
    </w:p>
    <w:p w14:paraId="19CCE5F2">
      <w:pPr>
        <w:pStyle w:val="56"/>
        <w:ind w:firstLine="420"/>
      </w:pPr>
      <w:bookmarkStart w:id="34" w:name="_Hlk217033305"/>
      <w:bookmarkStart w:id="35" w:name="_Hlk213165369"/>
      <w:r>
        <w:rPr>
          <w:rFonts w:hint="eastAsia"/>
        </w:rPr>
        <w:t>本文件界定了地理标志产品泰山红茶的术语，规定了产地范围、技术要求、检验规则、标志、标签、包装、运输、贮存和保质期的要求，描述了产地环境和相应检验方法。</w:t>
      </w:r>
    </w:p>
    <w:p w14:paraId="649E21B8">
      <w:pPr>
        <w:pStyle w:val="56"/>
        <w:ind w:firstLine="420"/>
      </w:pPr>
      <w:r>
        <w:rPr>
          <w:rFonts w:hint="eastAsia"/>
        </w:rPr>
        <w:t>本文件适用于地理标志产品泰山红茶的生产、加工、流通、检验，亦适用于地理标志产品泰山红茶   的产权保护和管理。</w:t>
      </w:r>
      <w:bookmarkStart w:id="36" w:name="_Toc17233326"/>
      <w:bookmarkStart w:id="37" w:name="_Toc26648466"/>
      <w:bookmarkStart w:id="38" w:name="_Toc24884212"/>
      <w:bookmarkStart w:id="39" w:name="_Toc24884219"/>
      <w:bookmarkStart w:id="40" w:name="_Toc17233334"/>
    </w:p>
    <w:bookmarkEnd w:id="34"/>
    <w:p w14:paraId="21808183">
      <w:pPr>
        <w:pStyle w:val="104"/>
        <w:spacing w:before="312" w:after="312"/>
      </w:pPr>
      <w:bookmarkStart w:id="41" w:name="_Toc26986531"/>
      <w:bookmarkStart w:id="42" w:name="_Toc26986772"/>
      <w:bookmarkStart w:id="43" w:name="_Toc26718931"/>
      <w:bookmarkStart w:id="44" w:name="_Toc97191424"/>
      <w:r>
        <w:rPr>
          <w:rFonts w:hint="eastAsia"/>
        </w:rPr>
        <w:t>规范性引用文件</w:t>
      </w:r>
      <w:bookmarkEnd w:id="36"/>
      <w:bookmarkEnd w:id="37"/>
      <w:bookmarkEnd w:id="38"/>
      <w:bookmarkEnd w:id="39"/>
      <w:bookmarkEnd w:id="40"/>
      <w:bookmarkEnd w:id="41"/>
      <w:bookmarkEnd w:id="42"/>
      <w:bookmarkEnd w:id="43"/>
      <w:bookmarkEnd w:id="44"/>
    </w:p>
    <w:sdt>
      <w:sdtPr>
        <w:rPr>
          <w:rFonts w:hint="eastAsia"/>
        </w:rPr>
        <w:id w:val="715848253"/>
        <w:placeholder>
          <w:docPart w:val="7C41B1FE01EF46E3B4775FD0DB436FF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59F5471F">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1B64382">
      <w:pPr>
        <w:pStyle w:val="56"/>
        <w:ind w:firstLine="420"/>
        <w:rPr>
          <w:rFonts w:ascii="宋体"/>
        </w:rPr>
      </w:pPr>
      <w:r>
        <w:rPr>
          <w:rFonts w:hint="eastAsia" w:ascii="宋体"/>
        </w:rPr>
        <w:t>GB/T 191 包装储运图示标志</w:t>
      </w:r>
    </w:p>
    <w:p w14:paraId="3848A480">
      <w:pPr>
        <w:pStyle w:val="56"/>
        <w:ind w:firstLine="420"/>
        <w:rPr>
          <w:rFonts w:ascii="宋体"/>
        </w:rPr>
      </w:pPr>
      <w:r>
        <w:rPr>
          <w:rFonts w:hint="eastAsia" w:ascii="宋体"/>
        </w:rPr>
        <w:t>GB 5009.3 食品安全国家标准 食品中水分的测定</w:t>
      </w:r>
    </w:p>
    <w:p w14:paraId="55DB86E9">
      <w:pPr>
        <w:pStyle w:val="56"/>
        <w:ind w:firstLine="420"/>
        <w:rPr>
          <w:rFonts w:ascii="宋体"/>
        </w:rPr>
      </w:pPr>
      <w:r>
        <w:rPr>
          <w:rFonts w:hint="eastAsia" w:ascii="宋体"/>
        </w:rPr>
        <w:t>GB 5009.4 食品安全国家标准 食品中灰分的测定</w:t>
      </w:r>
    </w:p>
    <w:p w14:paraId="61D36C43">
      <w:pPr>
        <w:pStyle w:val="56"/>
        <w:ind w:firstLine="420"/>
        <w:rPr>
          <w:rFonts w:ascii="宋体"/>
        </w:rPr>
      </w:pPr>
      <w:r>
        <w:rPr>
          <w:rFonts w:hint="eastAsia" w:ascii="宋体"/>
        </w:rPr>
        <w:t>GB/T 8302 茶 取样</w:t>
      </w:r>
    </w:p>
    <w:p w14:paraId="06ED3B75">
      <w:pPr>
        <w:pStyle w:val="56"/>
        <w:ind w:firstLine="420"/>
        <w:rPr>
          <w:rFonts w:ascii="宋体"/>
        </w:rPr>
      </w:pPr>
      <w:r>
        <w:rPr>
          <w:rFonts w:hint="eastAsia" w:ascii="宋体"/>
        </w:rPr>
        <w:t>GB/T 8305 茶 水浸出物测定</w:t>
      </w:r>
    </w:p>
    <w:p w14:paraId="560EA74F">
      <w:pPr>
        <w:pStyle w:val="56"/>
        <w:ind w:firstLine="420"/>
        <w:rPr>
          <w:rFonts w:ascii="宋体"/>
        </w:rPr>
      </w:pPr>
      <w:r>
        <w:rPr>
          <w:rFonts w:hint="eastAsia" w:ascii="宋体"/>
        </w:rPr>
        <w:t>GB/T 8310 茶 粗纤维测定</w:t>
      </w:r>
    </w:p>
    <w:p w14:paraId="0B355732">
      <w:pPr>
        <w:pStyle w:val="56"/>
        <w:ind w:firstLine="420"/>
        <w:rPr>
          <w:rFonts w:ascii="宋体"/>
        </w:rPr>
      </w:pPr>
      <w:r>
        <w:rPr>
          <w:rFonts w:hint="eastAsia" w:ascii="宋体"/>
        </w:rPr>
        <w:t>GB/T 8311 茶 粉末和碎茶含量测定</w:t>
      </w:r>
    </w:p>
    <w:p w14:paraId="185ED64F">
      <w:pPr>
        <w:pStyle w:val="56"/>
        <w:ind w:firstLine="420"/>
        <w:rPr>
          <w:rFonts w:ascii="宋体"/>
        </w:rPr>
      </w:pPr>
      <w:r>
        <w:rPr>
          <w:rFonts w:hint="eastAsia" w:ascii="宋体"/>
        </w:rPr>
        <w:t>GB/T 8312  茶 咖啡碱测定</w:t>
      </w:r>
    </w:p>
    <w:p w14:paraId="09505092">
      <w:pPr>
        <w:pStyle w:val="56"/>
        <w:ind w:firstLine="420"/>
        <w:rPr>
          <w:rFonts w:ascii="宋体"/>
        </w:rPr>
      </w:pPr>
      <w:r>
        <w:rPr>
          <w:rFonts w:hint="eastAsia" w:ascii="宋体"/>
        </w:rPr>
        <w:t>GB/T 8313  茶叶中茶多酚和儿茶素类含量的检测方法</w:t>
      </w:r>
    </w:p>
    <w:p w14:paraId="692FA988">
      <w:pPr>
        <w:pStyle w:val="56"/>
        <w:ind w:firstLine="420"/>
        <w:rPr>
          <w:rFonts w:ascii="宋体"/>
        </w:rPr>
      </w:pPr>
      <w:r>
        <w:rPr>
          <w:rFonts w:hint="eastAsia" w:ascii="宋体"/>
        </w:rPr>
        <w:t>GB/T 14487 茶叶感官审评术语</w:t>
      </w:r>
    </w:p>
    <w:p w14:paraId="6487C4F5">
      <w:pPr>
        <w:pStyle w:val="56"/>
        <w:ind w:firstLine="420"/>
        <w:rPr>
          <w:rFonts w:ascii="宋体"/>
        </w:rPr>
      </w:pPr>
      <w:r>
        <w:rPr>
          <w:rFonts w:hint="eastAsia" w:ascii="宋体"/>
        </w:rPr>
        <w:t>GB 23350 限制商品过度包装要求食品和化妆品</w:t>
      </w:r>
    </w:p>
    <w:p w14:paraId="479BE330">
      <w:pPr>
        <w:pStyle w:val="56"/>
        <w:ind w:firstLine="420"/>
        <w:rPr>
          <w:rFonts w:ascii="宋体"/>
        </w:rPr>
      </w:pPr>
      <w:r>
        <w:rPr>
          <w:rFonts w:hint="eastAsia" w:ascii="宋体"/>
        </w:rPr>
        <w:t>GB/T 23776 茶叶感官审评方法</w:t>
      </w:r>
    </w:p>
    <w:p w14:paraId="42678FC4">
      <w:pPr>
        <w:pStyle w:val="56"/>
        <w:ind w:firstLine="420"/>
        <w:rPr>
          <w:rFonts w:ascii="宋体"/>
        </w:rPr>
      </w:pPr>
      <w:r>
        <w:rPr>
          <w:rFonts w:hint="eastAsia" w:ascii="宋体"/>
        </w:rPr>
        <w:t>GB/T 30375 茶叶贮存</w:t>
      </w:r>
    </w:p>
    <w:p w14:paraId="1A031830">
      <w:pPr>
        <w:pStyle w:val="56"/>
        <w:ind w:firstLine="420"/>
        <w:rPr>
          <w:rFonts w:ascii="宋体"/>
        </w:rPr>
      </w:pPr>
      <w:bookmarkStart w:id="45" w:name="_Hlk217033662"/>
      <w:r>
        <w:rPr>
          <w:rFonts w:hint="eastAsia" w:ascii="宋体"/>
        </w:rPr>
        <w:t>GB/T 30643 食品接触材料及制品标签通则</w:t>
      </w:r>
    </w:p>
    <w:p w14:paraId="03C3B5F1">
      <w:pPr>
        <w:pStyle w:val="56"/>
        <w:ind w:firstLine="420"/>
        <w:rPr>
          <w:rFonts w:ascii="宋体"/>
        </w:rPr>
      </w:pPr>
      <w:bookmarkStart w:id="46" w:name="_Hlk217050450"/>
      <w:r>
        <w:rPr>
          <w:rFonts w:hint="eastAsia" w:ascii="宋体"/>
        </w:rPr>
        <w:t>GH/T 1070 茶叶包装通则</w:t>
      </w:r>
    </w:p>
    <w:bookmarkEnd w:id="45"/>
    <w:bookmarkEnd w:id="46"/>
    <w:p w14:paraId="0627A37D">
      <w:pPr>
        <w:pStyle w:val="56"/>
        <w:ind w:firstLine="420"/>
        <w:rPr>
          <w:rFonts w:ascii="宋体"/>
        </w:rPr>
      </w:pPr>
      <w:r>
        <w:rPr>
          <w:rFonts w:hint="eastAsia" w:ascii="宋体"/>
        </w:rPr>
        <w:t>JJF 1070 定量包装商品净含量计量检验规则</w:t>
      </w:r>
    </w:p>
    <w:p w14:paraId="39B7AA15">
      <w:pPr>
        <w:pStyle w:val="104"/>
        <w:spacing w:before="312" w:after="312"/>
      </w:pPr>
      <w:bookmarkStart w:id="47" w:name="_Toc97191425"/>
      <w:r>
        <w:rPr>
          <w:rFonts w:hint="eastAsia"/>
        </w:rPr>
        <w:t>术语和定义</w:t>
      </w:r>
      <w:bookmarkEnd w:id="47"/>
    </w:p>
    <w:sdt>
      <w:sdtPr>
        <w:id w:val="-1909835108"/>
        <w:placeholder>
          <w:docPart w:val="5D672D7F9057471B9F513AD58C06A425"/>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5604BFE5">
          <w:pPr>
            <w:pStyle w:val="56"/>
            <w:ind w:firstLine="420"/>
          </w:pPr>
          <w:bookmarkStart w:id="48" w:name="_Toc26986532"/>
          <w:bookmarkEnd w:id="48"/>
          <w:r>
            <w:t>GB/T 14487界定的以及下列术语和定义适用于本文件。</w:t>
          </w:r>
        </w:p>
      </w:sdtContent>
    </w:sdt>
    <w:p w14:paraId="0F428CFC">
      <w:pPr>
        <w:pStyle w:val="56"/>
        <w:ind w:firstLine="420"/>
      </w:pPr>
    </w:p>
    <w:p w14:paraId="07275C64">
      <w:pPr>
        <w:pStyle w:val="105"/>
        <w:spacing w:before="156" w:after="156"/>
      </w:pPr>
      <w:r>
        <w:rPr>
          <w:rFonts w:hint="eastAsia"/>
        </w:rPr>
        <w:t xml:space="preserve">泰山红茶 </w:t>
      </w:r>
      <w:r>
        <w:t>Taishan black tea</w:t>
      </w:r>
    </w:p>
    <w:p w14:paraId="0C102EB0">
      <w:pPr>
        <w:pStyle w:val="56"/>
        <w:ind w:firstLine="420"/>
      </w:pPr>
      <w:bookmarkStart w:id="49" w:name="_Hlk217033684"/>
      <w:r>
        <w:rPr>
          <w:rFonts w:hint="eastAsia"/>
        </w:rPr>
        <w:t>在地理标志产品产地范围内的自然环境条件下，</w:t>
      </w:r>
      <w:bookmarkEnd w:id="49"/>
      <w:r>
        <w:rPr>
          <w:rFonts w:hint="eastAsia"/>
        </w:rPr>
        <w:t>选用适宜茶树品种选育和栽培，经萎凋、揉捻、发酵、干燥、包装制成的红茶。</w:t>
      </w:r>
    </w:p>
    <w:p w14:paraId="63DBDEEA">
      <w:pPr>
        <w:pStyle w:val="104"/>
        <w:spacing w:before="312" w:after="312"/>
      </w:pPr>
      <w:r>
        <w:rPr>
          <w:rFonts w:hint="eastAsia"/>
        </w:rPr>
        <w:t xml:space="preserve"> 产地范围</w:t>
      </w:r>
    </w:p>
    <w:p w14:paraId="0503B411">
      <w:pPr>
        <w:pStyle w:val="56"/>
        <w:ind w:firstLine="420"/>
      </w:pPr>
      <w:r>
        <w:rPr>
          <w:rFonts w:hint="eastAsia"/>
        </w:rPr>
        <w:t>泰山红茶地理标志产品保护范围限于</w:t>
      </w:r>
      <w:bookmarkStart w:id="50" w:name="_Hlk217033867"/>
      <w:r>
        <w:rPr>
          <w:rFonts w:hint="eastAsia"/>
        </w:rPr>
        <w:t>国家知识产权行政管理部门发布的批准公告中的产地范</w:t>
      </w:r>
    </w:p>
    <w:p w14:paraId="7A1FA9B8">
      <w:pPr>
        <w:pStyle w:val="56"/>
        <w:ind w:firstLine="0" w:firstLineChars="0"/>
      </w:pPr>
      <w:r>
        <w:rPr>
          <w:rFonts w:hint="eastAsia"/>
        </w:rPr>
        <w:t>围，即</w:t>
      </w:r>
      <w:bookmarkEnd w:id="50"/>
      <w:r>
        <w:rPr>
          <w:rFonts w:hint="eastAsia"/>
        </w:rPr>
        <w:t>泰安市所辖泰山区、高新区、岱岳区、肥城、宁阳、新泰共计6个区（县）29个乡镇965个行政村。地理坐标：东经116°43′34″～117°39′32″，北纬35°41′33″～36°25′15″，具体范围见附录A。</w:t>
      </w:r>
    </w:p>
    <w:p w14:paraId="2BBEE4DE">
      <w:pPr>
        <w:pStyle w:val="104"/>
        <w:spacing w:before="312" w:after="312"/>
      </w:pPr>
      <w:r>
        <w:rPr>
          <w:rFonts w:hint="eastAsia"/>
        </w:rPr>
        <w:t>产地环境</w:t>
      </w:r>
    </w:p>
    <w:p w14:paraId="555ED736">
      <w:pPr>
        <w:pStyle w:val="105"/>
        <w:spacing w:before="156" w:after="156"/>
      </w:pPr>
      <w:bookmarkStart w:id="51" w:name="_Hlk217033924"/>
      <w:r>
        <w:rPr>
          <w:rFonts w:hint="eastAsia"/>
        </w:rPr>
        <w:t>地理特征</w:t>
      </w:r>
    </w:p>
    <w:p w14:paraId="32732628">
      <w:pPr>
        <w:pStyle w:val="56"/>
        <w:ind w:firstLine="420"/>
      </w:pPr>
      <w:bookmarkStart w:id="52" w:name="_Hlk217054758"/>
      <w:r>
        <w:rPr>
          <w:rFonts w:hint="eastAsia"/>
        </w:rPr>
        <w:t>泰安市位于山东省中部的泰山南麓，地势自东北向西南倾斜，北纬35°38′</w:t>
      </w:r>
      <w:r>
        <w:t>~</w:t>
      </w:r>
      <w:r>
        <w:rPr>
          <w:rFonts w:hint="eastAsia"/>
        </w:rPr>
        <w:t>36°28′，东经116°20′</w:t>
      </w:r>
      <w:r>
        <w:t>~</w:t>
      </w:r>
      <w:r>
        <w:rPr>
          <w:rFonts w:hint="eastAsia"/>
        </w:rPr>
        <w:t>117°59′，海拔37.5m</w:t>
      </w:r>
      <w:r>
        <w:t xml:space="preserve"> ~</w:t>
      </w:r>
      <w:r>
        <w:rPr>
          <w:rFonts w:hint="eastAsia"/>
        </w:rPr>
        <w:t>1532.7m，境内拥有多种地貌类型，山地、丘陵、平原、洼地、湖泊兼而有之，北部和东部为泰山山脉，主峰玉皇顶海拔1532.7米，为华北平原相对海拔最高点。</w:t>
      </w:r>
      <w:bookmarkEnd w:id="52"/>
    </w:p>
    <w:p w14:paraId="068BA9D2">
      <w:pPr>
        <w:pStyle w:val="105"/>
        <w:spacing w:before="156" w:after="156"/>
      </w:pPr>
      <w:r>
        <w:rPr>
          <w:rFonts w:hint="eastAsia"/>
        </w:rPr>
        <w:t>气候特征</w:t>
      </w:r>
    </w:p>
    <w:p w14:paraId="36FE963C">
      <w:pPr>
        <w:pStyle w:val="56"/>
        <w:ind w:firstLine="420"/>
      </w:pPr>
      <w:bookmarkStart w:id="53" w:name="_Hlk217054848"/>
      <w:r>
        <w:rPr>
          <w:rFonts w:hint="eastAsia"/>
        </w:rPr>
        <w:t>泰安市属于温带大陆性半湿润季风气候区，四季分明，寒暑适宜，光温同步，雨热同季。春季干燥多风，夏季炎热多雨，秋季晴和气爽，冬季寒冷少雪。全市多年平均太阳辐射总量为121.58千卡/平方厘米，年际变化在112—131千卡/平方厘米之间，泰安市年平均气温14.0℃，</w:t>
      </w:r>
      <w:r>
        <w:t>昼夜温差受季节影响显著，</w:t>
      </w:r>
      <w:bookmarkStart w:id="54" w:name="_Hlk217055192"/>
      <w:r>
        <w:t>整体呈现较大特点，尤其在季节交替和冬季时期更为明显。</w:t>
      </w:r>
      <w:bookmarkEnd w:id="54"/>
    </w:p>
    <w:bookmarkEnd w:id="53"/>
    <w:p w14:paraId="5FD6576F">
      <w:pPr>
        <w:pStyle w:val="105"/>
        <w:spacing w:before="156" w:after="156"/>
      </w:pPr>
      <w:bookmarkStart w:id="55" w:name="_Hlk217055120"/>
      <w:r>
        <w:rPr>
          <w:rFonts w:hint="eastAsia"/>
        </w:rPr>
        <w:t>降水</w:t>
      </w:r>
    </w:p>
    <w:p w14:paraId="3CE51CC9">
      <w:pPr>
        <w:pStyle w:val="56"/>
        <w:ind w:firstLine="420"/>
      </w:pPr>
      <w:r>
        <w:rPr>
          <w:rFonts w:hint="eastAsia"/>
        </w:rPr>
        <w:t>年平均降雨量673.5毫米。</w:t>
      </w:r>
    </w:p>
    <w:p w14:paraId="3C8E0E3B">
      <w:pPr>
        <w:pStyle w:val="105"/>
        <w:spacing w:before="156" w:after="156"/>
      </w:pPr>
      <w:r>
        <w:rPr>
          <w:rFonts w:hint="eastAsia"/>
        </w:rPr>
        <w:t>土壤</w:t>
      </w:r>
    </w:p>
    <w:p w14:paraId="30C4C4A7">
      <w:pPr>
        <w:pStyle w:val="56"/>
        <w:ind w:firstLine="420"/>
      </w:pPr>
      <w:bookmarkStart w:id="56" w:name="_Hlk217056379"/>
      <w:r>
        <w:rPr>
          <w:rFonts w:hint="eastAsia"/>
        </w:rPr>
        <w:t>土壤以砂质壤土和砂质粘壤土为主,pH5..5~8,0之间，均值在6.6左右。海拨较高山地丘陵位置以粗骨土、石质土为主；平缓坡地以棕壤，褐土为主；海拔较低靠近河流位置以潮褐土、潮棕壤为主；土层深厚，有机质含量较高，矿物质营养元素丰富。</w:t>
      </w:r>
      <w:bookmarkEnd w:id="51"/>
      <w:bookmarkEnd w:id="55"/>
      <w:bookmarkStart w:id="57" w:name="_Hlk217034192"/>
    </w:p>
    <w:bookmarkEnd w:id="56"/>
    <w:p w14:paraId="07B8FEA2">
      <w:pPr>
        <w:pStyle w:val="104"/>
        <w:spacing w:before="312" w:after="312"/>
      </w:pPr>
      <w:r>
        <w:rPr>
          <w:rFonts w:hint="eastAsia"/>
        </w:rPr>
        <w:t>技术要求</w:t>
      </w:r>
    </w:p>
    <w:p w14:paraId="5F0D36A9">
      <w:pPr>
        <w:pStyle w:val="105"/>
        <w:spacing w:before="156" w:after="156"/>
      </w:pPr>
      <w:r>
        <w:rPr>
          <w:rFonts w:hint="eastAsia"/>
        </w:rPr>
        <w:t>立地条件</w:t>
      </w:r>
    </w:p>
    <w:p w14:paraId="18F6D8E0">
      <w:pPr>
        <w:pStyle w:val="56"/>
        <w:ind w:firstLine="420"/>
      </w:pPr>
      <w:r>
        <w:rPr>
          <w:rFonts w:hint="eastAsia"/>
        </w:rPr>
        <w:t>选择背风向阳半山坡，旱能浇、涝能排，土壤、灌溉水无污染，远离厂矿企业。主要土壤类型棕壤土，pH值6.5左右，土层深厚，土质疏松，保水保肥能力强。</w:t>
      </w:r>
    </w:p>
    <w:bookmarkEnd w:id="57"/>
    <w:p w14:paraId="50EAB6EE">
      <w:pPr>
        <w:pStyle w:val="105"/>
        <w:spacing w:before="156" w:after="156"/>
      </w:pPr>
      <w:r>
        <w:rPr>
          <w:rFonts w:hint="eastAsia"/>
        </w:rPr>
        <w:t>品种</w:t>
      </w:r>
    </w:p>
    <w:p w14:paraId="5778B315">
      <w:pPr>
        <w:pStyle w:val="56"/>
        <w:ind w:firstLine="420"/>
      </w:pPr>
      <w:r>
        <w:rPr>
          <w:rFonts w:hint="eastAsia"/>
        </w:rPr>
        <w:t>泰山红茶栽培代表性品种有：黄山群体种、福鼎大白、鸠坑、</w:t>
      </w:r>
      <w:bookmarkStart w:id="58" w:name="_Hlk217034328"/>
      <w:r>
        <w:rPr>
          <w:rFonts w:hint="eastAsia"/>
        </w:rPr>
        <w:t>金萱、中茶108</w:t>
      </w:r>
      <w:bookmarkEnd w:id="58"/>
      <w:r>
        <w:rPr>
          <w:rFonts w:hint="eastAsia"/>
        </w:rPr>
        <w:t>、碧香早、农抗早、舒茶早等优良品种。</w:t>
      </w:r>
    </w:p>
    <w:p w14:paraId="4C7B18AD">
      <w:pPr>
        <w:pStyle w:val="105"/>
        <w:spacing w:before="156" w:after="156"/>
        <w:rPr>
          <w:rFonts w:hint="eastAsia" w:ascii="宋体" w:hAnsi="宋体"/>
        </w:rPr>
      </w:pPr>
      <w:r>
        <w:rPr>
          <w:rFonts w:hint="eastAsia"/>
        </w:rPr>
        <w:t>栽培管理</w:t>
      </w:r>
    </w:p>
    <w:p w14:paraId="296E7BD7">
      <w:pPr>
        <w:pStyle w:val="65"/>
        <w:spacing w:before="156" w:after="156"/>
        <w:rPr>
          <w:rFonts w:hint="eastAsia" w:ascii="宋体" w:hAnsi="宋体"/>
        </w:rPr>
      </w:pPr>
      <w:r>
        <w:rPr>
          <w:rFonts w:hint="eastAsia" w:ascii="宋体" w:hAnsi="宋体"/>
        </w:rPr>
        <w:t xml:space="preserve">栽植 </w:t>
      </w:r>
    </w:p>
    <w:p w14:paraId="0E91BC87">
      <w:pPr>
        <w:pStyle w:val="56"/>
        <w:ind w:firstLine="420"/>
      </w:pPr>
      <w:r>
        <w:rPr>
          <w:rFonts w:hint="eastAsia"/>
        </w:rPr>
        <w:t>春季栽植时间为3月上旬至4月中旬,秋季栽培时间为10月中下旬至11月下旬。按照双行错位或单行栽植方式种植，每667㎡(亩)植4000株至7000株。</w:t>
      </w:r>
    </w:p>
    <w:p w14:paraId="07FA3D38">
      <w:pPr>
        <w:pStyle w:val="65"/>
        <w:spacing w:before="156" w:after="156"/>
      </w:pPr>
      <w:r>
        <w:rPr>
          <w:rFonts w:hint="eastAsia"/>
        </w:rPr>
        <w:t xml:space="preserve">修剪 </w:t>
      </w:r>
    </w:p>
    <w:p w14:paraId="260B4D56">
      <w:pPr>
        <w:pStyle w:val="56"/>
        <w:ind w:firstLine="420"/>
      </w:pPr>
      <w:r>
        <w:rPr>
          <w:rFonts w:hint="eastAsia"/>
        </w:rPr>
        <w:t>根据茶树树龄，长势和修剪目的分别采用适当的修剪方法。幼树3次定型修剪，生产树修剪则在头</w:t>
      </w:r>
    </w:p>
    <w:p w14:paraId="1AA2945E">
      <w:pPr>
        <w:pStyle w:val="56"/>
        <w:ind w:firstLine="0" w:firstLineChars="0"/>
      </w:pPr>
      <w:r>
        <w:rPr>
          <w:rFonts w:hint="eastAsia"/>
        </w:rPr>
        <w:t>轮茶结束后及时进行修剪。成年茶树适当采用轻修剪、深修剪、重修剪和台刈修剪方法培养树冠，复壮</w:t>
      </w:r>
    </w:p>
    <w:p w14:paraId="6A228F7F">
      <w:pPr>
        <w:pStyle w:val="56"/>
        <w:ind w:firstLine="0" w:firstLineChars="0"/>
      </w:pPr>
      <w:r>
        <w:rPr>
          <w:rFonts w:hint="eastAsia"/>
        </w:rPr>
        <w:t>树势。覆盖度大的茶园，每年进行茶行边缘修剪，保持茶行间20 cm的空隙。</w:t>
      </w:r>
    </w:p>
    <w:p w14:paraId="4AE7E190">
      <w:pPr>
        <w:pStyle w:val="65"/>
        <w:spacing w:before="156" w:after="156"/>
      </w:pPr>
      <w:r>
        <w:rPr>
          <w:rFonts w:hint="eastAsia"/>
        </w:rPr>
        <w:t xml:space="preserve">施肥 </w:t>
      </w:r>
    </w:p>
    <w:p w14:paraId="3CC536C4">
      <w:pPr>
        <w:pStyle w:val="56"/>
        <w:ind w:firstLine="420"/>
      </w:pPr>
      <w:r>
        <w:rPr>
          <w:rFonts w:hint="eastAsia"/>
        </w:rPr>
        <w:t>基肥以有机肥为主，施肥深度20 cm以上，饼肥施用量200 kg至400 kg/667 ㎡(亩)或者农家有机肥施</w:t>
      </w:r>
    </w:p>
    <w:p w14:paraId="74D2D4CB">
      <w:pPr>
        <w:pStyle w:val="56"/>
        <w:ind w:firstLine="0" w:firstLineChars="0"/>
      </w:pPr>
      <w:r>
        <w:rPr>
          <w:rFonts w:hint="eastAsia"/>
        </w:rPr>
        <w:t>用量1000 kg至2000 kg/ 667 ㎡(亩)。追肥在茶叶开采前15天至30天开沟施入，纯氮肥施用量每次不超过15 kg/ 667㎡(亩)，年总用量小于60 kg/ 667㎡(亩)。</w:t>
      </w:r>
    </w:p>
    <w:p w14:paraId="573A568C">
      <w:pPr>
        <w:pStyle w:val="65"/>
        <w:spacing w:before="156" w:after="156"/>
      </w:pPr>
      <w:r>
        <w:rPr>
          <w:rFonts w:hint="eastAsia"/>
        </w:rPr>
        <w:t>灌溉</w:t>
      </w:r>
    </w:p>
    <w:p w14:paraId="74171ACA">
      <w:pPr>
        <w:pStyle w:val="56"/>
        <w:ind w:firstLine="420"/>
      </w:pPr>
      <w:r>
        <w:rPr>
          <w:rFonts w:hint="eastAsia"/>
        </w:rPr>
        <w:t>根据土壤墒情，茶园浇水要满足茶树生长要求。应浇好三水，一水于“春分”期间进行，二水在施肥后一周内浇水，三水在“立冬”后进行。提倡茶园使用微喷、滴灌等节水措施。雨季应及时排水防涝。</w:t>
      </w:r>
    </w:p>
    <w:p w14:paraId="356BA0BC">
      <w:pPr>
        <w:pStyle w:val="65"/>
        <w:spacing w:before="156" w:after="156"/>
      </w:pPr>
      <w:r>
        <w:rPr>
          <w:rFonts w:hint="eastAsia"/>
        </w:rPr>
        <w:t xml:space="preserve">  病、虫、草害防治</w:t>
      </w:r>
    </w:p>
    <w:p w14:paraId="7D020EC1">
      <w:pPr>
        <w:pStyle w:val="56"/>
        <w:ind w:firstLine="420"/>
      </w:pPr>
      <w:r>
        <w:rPr>
          <w:rFonts w:hint="eastAsia"/>
        </w:rPr>
        <w:t>病、虫、草害防治遵循“预防为主，综合治理”方针，从茶园整个生态系统出发，综合运用各种防治措施，创造不利于病虫害等有害生物孽生和有利于各类天敌繁衍的环境条件，保持茶园生态系统的平衡和生物多样性，将有害生物控制在经济阈值以下，将农药残留降低到规定标准的范围。化学防治宜一药多治或农药的合理混用，有限制地使用低毒、低残留、低水溶解度的农药。所使用农药应通过农业农村部茶叶上使用登记许可以及符合相应认证标准。</w:t>
      </w:r>
    </w:p>
    <w:p w14:paraId="52FD06BC">
      <w:pPr>
        <w:pStyle w:val="65"/>
        <w:spacing w:before="156" w:after="156"/>
      </w:pPr>
      <w:r>
        <w:rPr>
          <w:rFonts w:hint="eastAsia"/>
        </w:rPr>
        <w:t>越冬管理</w:t>
      </w:r>
    </w:p>
    <w:p w14:paraId="4FF8479E">
      <w:pPr>
        <w:pStyle w:val="56"/>
        <w:ind w:firstLine="420"/>
      </w:pPr>
      <w:r>
        <w:rPr>
          <w:rFonts w:hint="eastAsia"/>
        </w:rPr>
        <w:t>采取营造防风林带、茶园施足越冬肥（白露前后）、适时灌足越冬水、背面搭设防风帐、行间地面铺草、根部培土，建议建立春暖式或冬暖式大棚，早春及时浇灌返青水等人工管理措施，以防茶树冬季冻害。</w:t>
      </w:r>
    </w:p>
    <w:p w14:paraId="02E052C4">
      <w:pPr>
        <w:pStyle w:val="105"/>
        <w:spacing w:before="156" w:after="156"/>
      </w:pPr>
      <w:r>
        <w:rPr>
          <w:rFonts w:hint="eastAsia"/>
        </w:rPr>
        <w:t>采摘</w:t>
      </w:r>
    </w:p>
    <w:p w14:paraId="72D3DEED">
      <w:pPr>
        <w:pStyle w:val="56"/>
        <w:ind w:firstLine="420"/>
      </w:pPr>
      <w:r>
        <w:rPr>
          <w:rFonts w:hint="eastAsia"/>
        </w:rPr>
        <w:t>幼龄茶园的采摘坚持“以养为主，以采为辅，打顶护边，采高养低，多留少采，轻采养蓬”的原则。成龄茶园应根据茶树生长特性和加工原料的要求，进行采摘。春茶应提早开采；实行春采（留鱼叶）、夏养、秋控（采养结合）；9月中、下旬封园。鲜叶应新鲜、洁净、无杂质、无病虫危害。</w:t>
      </w:r>
    </w:p>
    <w:bookmarkEnd w:id="35"/>
    <w:p w14:paraId="451C0D01">
      <w:pPr>
        <w:pStyle w:val="105"/>
        <w:spacing w:before="156" w:after="156"/>
      </w:pPr>
      <w:r>
        <w:rPr>
          <w:rFonts w:hint="eastAsia"/>
        </w:rPr>
        <w:t>加工</w:t>
      </w:r>
    </w:p>
    <w:p w14:paraId="602BC74A">
      <w:pPr>
        <w:pStyle w:val="65"/>
        <w:spacing w:before="156" w:after="156"/>
      </w:pPr>
      <w:r>
        <w:rPr>
          <w:rFonts w:hint="eastAsia"/>
        </w:rPr>
        <w:t>萎凋</w:t>
      </w:r>
    </w:p>
    <w:p w14:paraId="0A893941">
      <w:pPr>
        <w:pStyle w:val="94"/>
        <w:spacing w:before="156" w:after="156"/>
      </w:pPr>
      <w:r>
        <w:rPr>
          <w:rFonts w:hint="eastAsia"/>
        </w:rPr>
        <w:t>日光萎凋</w:t>
      </w:r>
    </w:p>
    <w:p w14:paraId="4D661E25">
      <w:pPr>
        <w:pStyle w:val="56"/>
        <w:ind w:firstLine="420"/>
      </w:pPr>
      <w:r>
        <w:rPr>
          <w:rFonts w:hint="eastAsia"/>
        </w:rPr>
        <w:t>日光萎凋叶温不宜超过30 ℃，时间控制在30 min～60 min，摊叶厚度宜为2 cm～3 cm，中间翻拌一次，茶青减重达5%～10</w:t>
      </w:r>
      <w:r>
        <w:t>%</w:t>
      </w:r>
      <w:r>
        <w:rPr>
          <w:rFonts w:hint="eastAsia"/>
        </w:rPr>
        <w:t>左右，然后转移至室内摊凉，继续萎凋。</w:t>
      </w:r>
    </w:p>
    <w:p w14:paraId="619F5FBC">
      <w:pPr>
        <w:pStyle w:val="94"/>
        <w:spacing w:before="156" w:after="156"/>
      </w:pPr>
      <w:r>
        <w:rPr>
          <w:rFonts w:hint="eastAsia"/>
        </w:rPr>
        <w:t>室内萎凋</w:t>
      </w:r>
    </w:p>
    <w:p w14:paraId="3A289786">
      <w:pPr>
        <w:pStyle w:val="56"/>
        <w:ind w:firstLine="420"/>
      </w:pPr>
      <w:r>
        <w:rPr>
          <w:rFonts w:hint="eastAsia"/>
        </w:rPr>
        <w:t>萎凋摊叶厚度宜小于3 cm，萎凋环境适宜温度20 ℃～28 ℃，萎凋时间宜为12 h～24 h。</w:t>
      </w:r>
    </w:p>
    <w:p w14:paraId="4249BC8E">
      <w:pPr>
        <w:pStyle w:val="94"/>
        <w:spacing w:before="156" w:after="156"/>
      </w:pPr>
      <w:r>
        <w:rPr>
          <w:rFonts w:hint="eastAsia"/>
        </w:rPr>
        <w:t>加温萎凋</w:t>
      </w:r>
    </w:p>
    <w:p w14:paraId="21D37B5D">
      <w:pPr>
        <w:pStyle w:val="56"/>
        <w:ind w:firstLine="420"/>
      </w:pPr>
      <w:r>
        <w:rPr>
          <w:rFonts w:hint="eastAsia"/>
        </w:rPr>
        <w:t>加温萎凋摊叶厚度宜为10 cm～20 cm，摊叶时要求抖散摊平呈蓬松状态，保持厚薄一致。</w:t>
      </w:r>
    </w:p>
    <w:p w14:paraId="49306837">
      <w:pPr>
        <w:pStyle w:val="56"/>
        <w:ind w:firstLine="420"/>
      </w:pPr>
      <w:r>
        <w:rPr>
          <w:rFonts w:hint="eastAsia"/>
        </w:rPr>
        <w:t>加温萎凋进风口温度控制在25 ℃～35 ℃，室内温度控制在30 ℃之内，温度先高后低，下叶前10 min～15 min停止加温，鼓冷风。雨水叶应先用冷风吹干表面水，再进行加温萎凋，加温萎凋时间宜为12 h～16 h。</w:t>
      </w:r>
    </w:p>
    <w:p w14:paraId="611AE01E">
      <w:pPr>
        <w:pStyle w:val="94"/>
        <w:spacing w:before="156" w:after="156"/>
      </w:pPr>
      <w:r>
        <w:rPr>
          <w:rFonts w:hint="eastAsia"/>
        </w:rPr>
        <w:t>萎凋程度</w:t>
      </w:r>
    </w:p>
    <w:p w14:paraId="5F14CC71">
      <w:pPr>
        <w:pStyle w:val="56"/>
        <w:ind w:firstLine="420"/>
      </w:pPr>
      <w:r>
        <w:rPr>
          <w:rFonts w:hint="eastAsia"/>
        </w:rPr>
        <w:t>萎凋叶减重率以36%～45%为宜，其感官特征为：叶面失去光泽，叶色转为暗绿，叶缘带红边，青草气减退，香气显露；叶质柔软，梗折不断，紧握成团，松手可缓慢散开。</w:t>
      </w:r>
    </w:p>
    <w:p w14:paraId="3BF3FA52">
      <w:pPr>
        <w:pStyle w:val="65"/>
        <w:spacing w:before="156" w:after="156"/>
      </w:pPr>
      <w:r>
        <w:rPr>
          <w:rFonts w:hint="eastAsia"/>
        </w:rPr>
        <w:t>揉捻</w:t>
      </w:r>
    </w:p>
    <w:p w14:paraId="19D6EB84">
      <w:pPr>
        <w:pStyle w:val="56"/>
        <w:ind w:firstLine="420"/>
      </w:pPr>
      <w:r>
        <w:rPr>
          <w:rFonts w:hint="eastAsia"/>
        </w:rPr>
        <w:t>揉捻全程掌握“轻→重→轻”原则，揉捻时间为40 min～90 min，至叶片成条率90%以上，茶条紧卷、茶汁溢出而不滴流、茶条部分泛红。嫩度不一的揉捻叶经解块筛分后，筛面茶需进行复揉。</w:t>
      </w:r>
    </w:p>
    <w:p w14:paraId="6515E49E">
      <w:pPr>
        <w:pStyle w:val="65"/>
        <w:spacing w:before="156" w:after="156"/>
      </w:pPr>
      <w:r>
        <w:rPr>
          <w:rFonts w:hint="eastAsia"/>
        </w:rPr>
        <w:t>发酵</w:t>
      </w:r>
    </w:p>
    <w:p w14:paraId="13F06E0C">
      <w:pPr>
        <w:pStyle w:val="56"/>
        <w:ind w:firstLine="420"/>
      </w:pPr>
      <w:r>
        <w:rPr>
          <w:rFonts w:hint="eastAsia"/>
        </w:rPr>
        <w:t>发酵室温度宜24 ℃～30 ℃，空气相对湿度≥85%，摊叶厚度10 cm-20 cm，发酵时间为3 h～5 h，中间翻拌1 次～2 次，并保持空气流通；叶色70%～80%达到红黄色、花果香、甜香较浓郁为宜。</w:t>
      </w:r>
    </w:p>
    <w:p w14:paraId="09BA8460">
      <w:pPr>
        <w:pStyle w:val="65"/>
        <w:spacing w:before="156" w:after="156"/>
      </w:pPr>
      <w:r>
        <w:rPr>
          <w:rFonts w:hint="eastAsia"/>
        </w:rPr>
        <w:t>干燥</w:t>
      </w:r>
    </w:p>
    <w:p w14:paraId="53750B53">
      <w:pPr>
        <w:pStyle w:val="56"/>
        <w:ind w:firstLine="420"/>
      </w:pPr>
      <w:r>
        <w:rPr>
          <w:rFonts w:hint="eastAsia"/>
        </w:rPr>
        <w:t>采用二次干燥，中间摊凉一次。</w:t>
      </w:r>
    </w:p>
    <w:p w14:paraId="4C404EAF">
      <w:pPr>
        <w:pStyle w:val="65"/>
        <w:spacing w:before="156" w:after="156"/>
      </w:pPr>
      <w:r>
        <w:rPr>
          <w:rFonts w:hint="eastAsia"/>
        </w:rPr>
        <w:t>毛火</w:t>
      </w:r>
    </w:p>
    <w:p w14:paraId="5A17801E">
      <w:pPr>
        <w:pStyle w:val="56"/>
        <w:ind w:firstLine="420"/>
      </w:pPr>
      <w:r>
        <w:rPr>
          <w:rFonts w:hint="eastAsia"/>
        </w:rPr>
        <w:t>温度110 ℃～130 ℃，摊叶厚度2 cm～3 cm，时间8 min～15 min，烘至含水率20%左右，手握茶叶有刺手感为宜。</w:t>
      </w:r>
    </w:p>
    <w:p w14:paraId="529AD1FE">
      <w:pPr>
        <w:pStyle w:val="65"/>
        <w:spacing w:before="156" w:after="156"/>
      </w:pPr>
      <w:r>
        <w:rPr>
          <w:rFonts w:hint="eastAsia"/>
        </w:rPr>
        <w:t>摊凉</w:t>
      </w:r>
    </w:p>
    <w:p w14:paraId="1876E7F9">
      <w:pPr>
        <w:pStyle w:val="56"/>
        <w:ind w:firstLine="420"/>
      </w:pPr>
      <w:r>
        <w:rPr>
          <w:rFonts w:hint="eastAsia"/>
        </w:rPr>
        <w:t>将茶叶均匀摊开，叶温降至室温。</w:t>
      </w:r>
    </w:p>
    <w:p w14:paraId="24AE081C">
      <w:pPr>
        <w:pStyle w:val="65"/>
        <w:spacing w:before="156" w:after="156"/>
      </w:pPr>
      <w:r>
        <w:rPr>
          <w:rFonts w:hint="eastAsia"/>
        </w:rPr>
        <w:t>足火</w:t>
      </w:r>
    </w:p>
    <w:p w14:paraId="4379ED0B">
      <w:pPr>
        <w:pStyle w:val="56"/>
        <w:ind w:firstLine="420"/>
        <w:rPr>
          <w:rFonts w:hint="eastAsia" w:ascii="宋体" w:hAnsi="宋体"/>
        </w:rPr>
      </w:pPr>
      <w:r>
        <w:rPr>
          <w:rFonts w:hint="eastAsia" w:ascii="宋体" w:hAnsi="宋体"/>
        </w:rPr>
        <w:t>温度70 ℃～100 ℃，摊叶厚度3 cm～4 cm，烘至毛茶含水量6%左右，用手指搓揉茶可成粉末。</w:t>
      </w:r>
    </w:p>
    <w:p w14:paraId="378794CA">
      <w:pPr>
        <w:pStyle w:val="105"/>
        <w:spacing w:before="156" w:after="156"/>
      </w:pPr>
      <w:r>
        <w:rPr>
          <w:rFonts w:hint="eastAsia"/>
        </w:rPr>
        <w:t>成品茶</w:t>
      </w:r>
    </w:p>
    <w:p w14:paraId="6763E265">
      <w:pPr>
        <w:pStyle w:val="65"/>
        <w:spacing w:before="156" w:after="156"/>
      </w:pPr>
      <w:r>
        <w:rPr>
          <w:rFonts w:hint="eastAsia"/>
        </w:rPr>
        <w:t>感官品质</w:t>
      </w:r>
    </w:p>
    <w:p w14:paraId="7DF134CC">
      <w:pPr>
        <w:pStyle w:val="94"/>
        <w:spacing w:before="156" w:after="156"/>
      </w:pPr>
      <w:r>
        <w:rPr>
          <w:rFonts w:hint="eastAsia"/>
        </w:rPr>
        <w:t>基本要求</w:t>
      </w:r>
    </w:p>
    <w:p w14:paraId="29837CD5">
      <w:pPr>
        <w:pStyle w:val="65"/>
        <w:numPr>
          <w:ilvl w:val="0"/>
          <w:numId w:val="0"/>
        </w:numPr>
        <w:spacing w:before="156" w:after="156"/>
        <w:rPr>
          <w:rFonts w:hint="eastAsia" w:ascii="宋体" w:hAnsi="宋体" w:eastAsia="宋体"/>
        </w:rPr>
      </w:pPr>
      <w:r>
        <w:rPr>
          <w:rFonts w:hint="eastAsia"/>
        </w:rPr>
        <w:t xml:space="preserve">    </w:t>
      </w:r>
      <w:bookmarkStart w:id="59" w:name="_Hlk217034962"/>
      <w:r>
        <w:rPr>
          <w:rFonts w:hint="eastAsia" w:ascii="宋体" w:hAnsi="宋体" w:eastAsia="宋体"/>
        </w:rPr>
        <w:t>产品应品质正常,无异味,无霉变,无劣变；应洁净,不应夹杂非茶类物质</w:t>
      </w:r>
      <w:bookmarkEnd w:id="59"/>
      <w:r>
        <w:rPr>
          <w:rFonts w:hint="eastAsia" w:ascii="宋体" w:hAnsi="宋体" w:eastAsia="宋体"/>
        </w:rPr>
        <w:t>。</w:t>
      </w:r>
    </w:p>
    <w:p w14:paraId="3458C1A2">
      <w:pPr>
        <w:pStyle w:val="94"/>
        <w:spacing w:before="156" w:after="156"/>
      </w:pPr>
      <w:r>
        <w:rPr>
          <w:rFonts w:hint="eastAsia"/>
        </w:rPr>
        <w:t>感官指标</w:t>
      </w:r>
    </w:p>
    <w:p w14:paraId="4C093DEA">
      <w:pPr>
        <w:pStyle w:val="56"/>
        <w:ind w:firstLine="420"/>
      </w:pPr>
      <w:r>
        <w:rPr>
          <w:rFonts w:hint="eastAsia"/>
        </w:rPr>
        <w:t>泰山红茶</w:t>
      </w:r>
      <w:bookmarkStart w:id="60" w:name="_Hlk217048565"/>
      <w:r>
        <w:rPr>
          <w:rFonts w:hint="eastAsia"/>
        </w:rPr>
        <w:t>按感官指标分为特级、一级和二级,各级感官指标应符合表1的要求。</w:t>
      </w:r>
      <w:bookmarkEnd w:id="60"/>
    </w:p>
    <w:p w14:paraId="7ECD6CE2">
      <w:pPr>
        <w:pStyle w:val="56"/>
        <w:ind w:firstLine="420"/>
      </w:pPr>
    </w:p>
    <w:p w14:paraId="70B570D5">
      <w:pPr>
        <w:pStyle w:val="56"/>
        <w:ind w:firstLine="420"/>
        <w:rPr>
          <w:rFonts w:hint="eastAsia"/>
        </w:rPr>
      </w:pPr>
    </w:p>
    <w:p w14:paraId="79769BB4">
      <w:pPr>
        <w:pStyle w:val="56"/>
        <w:ind w:firstLine="420"/>
        <w:rPr>
          <w:rFonts w:hint="eastAsia"/>
        </w:rPr>
      </w:pPr>
    </w:p>
    <w:p w14:paraId="19992096">
      <w:pPr>
        <w:pStyle w:val="112"/>
        <w:spacing w:before="156" w:after="156"/>
      </w:pPr>
      <w:r>
        <w:rPr>
          <w:rFonts w:hint="eastAsia"/>
        </w:rPr>
        <w:t>感官品质要求</w:t>
      </w:r>
    </w:p>
    <w:tbl>
      <w:tblPr>
        <w:tblStyle w:val="26"/>
        <w:tblW w:w="957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6"/>
        <w:gridCol w:w="1077"/>
        <w:gridCol w:w="827"/>
        <w:gridCol w:w="945"/>
        <w:gridCol w:w="1063"/>
        <w:gridCol w:w="1680"/>
        <w:gridCol w:w="1155"/>
        <w:gridCol w:w="722"/>
        <w:gridCol w:w="1496"/>
      </w:tblGrid>
      <w:tr w14:paraId="43B8D6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Merge w:val="restart"/>
            <w:vAlign w:val="center"/>
          </w:tcPr>
          <w:p w14:paraId="2283E785">
            <w:pPr>
              <w:widowControl/>
              <w:jc w:val="center"/>
              <w:rPr>
                <w:rFonts w:hint="eastAsia" w:ascii="宋体" w:hAnsi="宋体" w:cs="宋体"/>
                <w:bCs/>
                <w:kern w:val="0"/>
              </w:rPr>
            </w:pPr>
            <w:r>
              <w:rPr>
                <w:rFonts w:hint="eastAsia" w:ascii="宋体" w:hAnsi="宋体" w:cs="宋体"/>
                <w:bCs/>
                <w:kern w:val="0"/>
              </w:rPr>
              <w:t>级别</w:t>
            </w:r>
          </w:p>
        </w:tc>
        <w:tc>
          <w:tcPr>
            <w:tcW w:w="3912" w:type="dxa"/>
            <w:gridSpan w:val="4"/>
            <w:vAlign w:val="center"/>
          </w:tcPr>
          <w:p w14:paraId="3955A8AB">
            <w:pPr>
              <w:widowControl/>
              <w:jc w:val="center"/>
              <w:rPr>
                <w:rFonts w:hint="eastAsia" w:ascii="宋体" w:hAnsi="宋体" w:cs="宋体"/>
                <w:bCs/>
                <w:kern w:val="0"/>
              </w:rPr>
            </w:pPr>
            <w:r>
              <w:rPr>
                <w:rFonts w:hint="eastAsia" w:ascii="宋体" w:hAnsi="宋体" w:cs="宋体"/>
                <w:bCs/>
                <w:kern w:val="0"/>
              </w:rPr>
              <w:t>外形</w:t>
            </w:r>
          </w:p>
        </w:tc>
        <w:tc>
          <w:tcPr>
            <w:tcW w:w="5053" w:type="dxa"/>
            <w:gridSpan w:val="4"/>
            <w:vAlign w:val="center"/>
          </w:tcPr>
          <w:p w14:paraId="26346950">
            <w:pPr>
              <w:widowControl/>
              <w:jc w:val="center"/>
              <w:rPr>
                <w:rFonts w:hint="eastAsia" w:ascii="宋体" w:hAnsi="宋体" w:cs="宋体"/>
                <w:bCs/>
                <w:kern w:val="0"/>
              </w:rPr>
            </w:pPr>
            <w:r>
              <w:rPr>
                <w:rFonts w:hint="eastAsia" w:ascii="宋体" w:hAnsi="宋体" w:cs="宋体"/>
                <w:bCs/>
                <w:kern w:val="0"/>
              </w:rPr>
              <w:t>内质</w:t>
            </w:r>
          </w:p>
        </w:tc>
      </w:tr>
      <w:tr w14:paraId="2E35CC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Merge w:val="continue"/>
            <w:vAlign w:val="center"/>
          </w:tcPr>
          <w:p w14:paraId="250D1EFF">
            <w:pPr>
              <w:widowControl/>
              <w:jc w:val="center"/>
              <w:rPr>
                <w:rFonts w:hint="eastAsia" w:ascii="宋体" w:hAnsi="宋体" w:cs="宋体"/>
                <w:kern w:val="0"/>
              </w:rPr>
            </w:pPr>
          </w:p>
        </w:tc>
        <w:tc>
          <w:tcPr>
            <w:tcW w:w="1077" w:type="dxa"/>
            <w:vAlign w:val="center"/>
          </w:tcPr>
          <w:p w14:paraId="036AE2B3">
            <w:pPr>
              <w:widowControl/>
              <w:jc w:val="center"/>
              <w:rPr>
                <w:rFonts w:hint="eastAsia" w:ascii="宋体" w:hAnsi="宋体" w:cs="宋体"/>
                <w:kern w:val="0"/>
              </w:rPr>
            </w:pPr>
            <w:r>
              <w:rPr>
                <w:rFonts w:hint="eastAsia" w:ascii="宋体" w:hAnsi="宋体" w:cs="宋体"/>
                <w:kern w:val="0"/>
              </w:rPr>
              <w:t>形状</w:t>
            </w:r>
          </w:p>
        </w:tc>
        <w:tc>
          <w:tcPr>
            <w:tcW w:w="827" w:type="dxa"/>
            <w:vAlign w:val="center"/>
          </w:tcPr>
          <w:p w14:paraId="36879A23">
            <w:pPr>
              <w:widowControl/>
              <w:jc w:val="center"/>
              <w:rPr>
                <w:rFonts w:hint="eastAsia" w:ascii="宋体" w:hAnsi="宋体" w:cs="宋体"/>
                <w:kern w:val="0"/>
              </w:rPr>
            </w:pPr>
            <w:r>
              <w:rPr>
                <w:rFonts w:hint="eastAsia" w:ascii="宋体" w:hAnsi="宋体" w:cs="宋体"/>
                <w:kern w:val="0"/>
              </w:rPr>
              <w:t>整碎</w:t>
            </w:r>
          </w:p>
        </w:tc>
        <w:tc>
          <w:tcPr>
            <w:tcW w:w="945" w:type="dxa"/>
            <w:vAlign w:val="center"/>
          </w:tcPr>
          <w:p w14:paraId="0B30F188">
            <w:pPr>
              <w:widowControl/>
              <w:jc w:val="center"/>
              <w:rPr>
                <w:rFonts w:hint="eastAsia" w:ascii="宋体" w:hAnsi="宋体" w:cs="宋体"/>
                <w:kern w:val="0"/>
              </w:rPr>
            </w:pPr>
            <w:r>
              <w:rPr>
                <w:rFonts w:hint="eastAsia" w:ascii="宋体" w:hAnsi="宋体" w:cs="宋体"/>
                <w:kern w:val="0"/>
              </w:rPr>
              <w:t>净度</w:t>
            </w:r>
          </w:p>
        </w:tc>
        <w:tc>
          <w:tcPr>
            <w:tcW w:w="1063" w:type="dxa"/>
            <w:vAlign w:val="center"/>
          </w:tcPr>
          <w:p w14:paraId="6FAEA673">
            <w:pPr>
              <w:widowControl/>
              <w:jc w:val="center"/>
              <w:rPr>
                <w:rFonts w:hint="eastAsia" w:ascii="宋体" w:hAnsi="宋体" w:cs="宋体"/>
                <w:kern w:val="0"/>
              </w:rPr>
            </w:pPr>
            <w:r>
              <w:rPr>
                <w:rFonts w:hint="eastAsia" w:ascii="宋体" w:hAnsi="宋体" w:cs="宋体"/>
                <w:kern w:val="0"/>
              </w:rPr>
              <w:t>色泽</w:t>
            </w:r>
          </w:p>
        </w:tc>
        <w:tc>
          <w:tcPr>
            <w:tcW w:w="1680" w:type="dxa"/>
            <w:vAlign w:val="center"/>
          </w:tcPr>
          <w:p w14:paraId="1A3484E3">
            <w:pPr>
              <w:widowControl/>
              <w:jc w:val="center"/>
              <w:rPr>
                <w:rFonts w:hint="eastAsia" w:ascii="宋体" w:hAnsi="宋体" w:cs="宋体"/>
                <w:kern w:val="0"/>
              </w:rPr>
            </w:pPr>
            <w:r>
              <w:rPr>
                <w:rFonts w:hint="eastAsia" w:ascii="宋体" w:hAnsi="宋体" w:cs="宋体"/>
                <w:kern w:val="0"/>
              </w:rPr>
              <w:t>香气</w:t>
            </w:r>
          </w:p>
        </w:tc>
        <w:tc>
          <w:tcPr>
            <w:tcW w:w="1155" w:type="dxa"/>
            <w:vAlign w:val="center"/>
          </w:tcPr>
          <w:p w14:paraId="6BDABCB9">
            <w:pPr>
              <w:widowControl/>
              <w:jc w:val="center"/>
              <w:rPr>
                <w:rFonts w:hint="eastAsia" w:ascii="宋体" w:hAnsi="宋体" w:cs="宋体"/>
                <w:kern w:val="0"/>
              </w:rPr>
            </w:pPr>
            <w:r>
              <w:rPr>
                <w:rFonts w:hint="eastAsia" w:ascii="宋体" w:hAnsi="宋体" w:cs="宋体"/>
                <w:kern w:val="0"/>
              </w:rPr>
              <w:t>汤色</w:t>
            </w:r>
          </w:p>
        </w:tc>
        <w:tc>
          <w:tcPr>
            <w:tcW w:w="722" w:type="dxa"/>
            <w:vAlign w:val="center"/>
          </w:tcPr>
          <w:p w14:paraId="4186F141">
            <w:pPr>
              <w:widowControl/>
              <w:jc w:val="center"/>
              <w:rPr>
                <w:rFonts w:hint="eastAsia" w:ascii="宋体" w:hAnsi="宋体" w:cs="宋体"/>
                <w:kern w:val="0"/>
              </w:rPr>
            </w:pPr>
            <w:r>
              <w:rPr>
                <w:rFonts w:hint="eastAsia" w:ascii="宋体" w:hAnsi="宋体" w:cs="宋体"/>
                <w:kern w:val="0"/>
              </w:rPr>
              <w:t>滋味</w:t>
            </w:r>
          </w:p>
        </w:tc>
        <w:tc>
          <w:tcPr>
            <w:tcW w:w="1496" w:type="dxa"/>
            <w:vAlign w:val="center"/>
          </w:tcPr>
          <w:p w14:paraId="70E221C1">
            <w:pPr>
              <w:widowControl/>
              <w:jc w:val="center"/>
              <w:rPr>
                <w:rFonts w:hint="eastAsia" w:ascii="宋体" w:hAnsi="宋体" w:cs="宋体"/>
                <w:kern w:val="0"/>
              </w:rPr>
            </w:pPr>
            <w:r>
              <w:rPr>
                <w:rFonts w:hint="eastAsia" w:ascii="宋体" w:hAnsi="宋体" w:cs="宋体"/>
                <w:kern w:val="0"/>
              </w:rPr>
              <w:t>叶底</w:t>
            </w:r>
          </w:p>
        </w:tc>
      </w:tr>
      <w:tr w14:paraId="3FCE9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Align w:val="center"/>
          </w:tcPr>
          <w:p w14:paraId="60F1EC09">
            <w:pPr>
              <w:widowControl/>
              <w:jc w:val="center"/>
              <w:rPr>
                <w:rFonts w:hint="eastAsia" w:ascii="宋体" w:hAnsi="宋体" w:cs="宋体"/>
                <w:kern w:val="0"/>
              </w:rPr>
            </w:pPr>
            <w:r>
              <w:rPr>
                <w:rFonts w:hint="eastAsia" w:ascii="宋体" w:hAnsi="宋体" w:cs="宋体"/>
                <w:kern w:val="0"/>
              </w:rPr>
              <w:t>特级</w:t>
            </w:r>
          </w:p>
        </w:tc>
        <w:tc>
          <w:tcPr>
            <w:tcW w:w="1077" w:type="dxa"/>
            <w:vAlign w:val="center"/>
          </w:tcPr>
          <w:p w14:paraId="3BF90A4F">
            <w:pPr>
              <w:widowControl/>
              <w:jc w:val="center"/>
              <w:rPr>
                <w:rFonts w:hint="eastAsia" w:ascii="宋体" w:hAnsi="宋体" w:cs="宋体"/>
                <w:kern w:val="0"/>
              </w:rPr>
            </w:pPr>
            <w:r>
              <w:rPr>
                <w:rFonts w:hint="eastAsia" w:ascii="宋体" w:hAnsi="宋体" w:cs="宋体"/>
                <w:kern w:val="0"/>
              </w:rPr>
              <w:t>细紧多锋苗</w:t>
            </w:r>
          </w:p>
        </w:tc>
        <w:tc>
          <w:tcPr>
            <w:tcW w:w="827" w:type="dxa"/>
            <w:vAlign w:val="center"/>
          </w:tcPr>
          <w:p w14:paraId="5C0D47E6">
            <w:pPr>
              <w:widowControl/>
              <w:jc w:val="center"/>
              <w:rPr>
                <w:rFonts w:hint="eastAsia" w:ascii="宋体" w:hAnsi="宋体" w:cs="宋体"/>
                <w:kern w:val="0"/>
              </w:rPr>
            </w:pPr>
            <w:r>
              <w:rPr>
                <w:rFonts w:hint="eastAsia" w:ascii="宋体" w:hAnsi="宋体" w:cs="宋体"/>
                <w:kern w:val="0"/>
              </w:rPr>
              <w:t>匀齐</w:t>
            </w:r>
          </w:p>
        </w:tc>
        <w:tc>
          <w:tcPr>
            <w:tcW w:w="945" w:type="dxa"/>
            <w:vAlign w:val="center"/>
          </w:tcPr>
          <w:p w14:paraId="048C1C2C">
            <w:pPr>
              <w:widowControl/>
              <w:jc w:val="center"/>
              <w:rPr>
                <w:rFonts w:hint="eastAsia" w:ascii="宋体" w:hAnsi="宋体" w:cs="宋体"/>
                <w:kern w:val="0"/>
              </w:rPr>
            </w:pPr>
            <w:r>
              <w:rPr>
                <w:rFonts w:hint="eastAsia" w:ascii="宋体" w:hAnsi="宋体" w:cs="宋体"/>
                <w:kern w:val="0"/>
              </w:rPr>
              <w:t>净</w:t>
            </w:r>
          </w:p>
        </w:tc>
        <w:tc>
          <w:tcPr>
            <w:tcW w:w="1063" w:type="dxa"/>
            <w:vAlign w:val="center"/>
          </w:tcPr>
          <w:p w14:paraId="0E2180C1">
            <w:pPr>
              <w:widowControl/>
              <w:rPr>
                <w:rFonts w:hint="eastAsia" w:ascii="宋体" w:hAnsi="宋体" w:cs="宋体"/>
                <w:kern w:val="0"/>
              </w:rPr>
            </w:pPr>
            <w:r>
              <w:rPr>
                <w:rFonts w:hint="eastAsia" w:ascii="宋体" w:hAnsi="宋体" w:cs="宋体"/>
                <w:kern w:val="0"/>
              </w:rPr>
              <w:t>乌黑油润</w:t>
            </w:r>
          </w:p>
        </w:tc>
        <w:tc>
          <w:tcPr>
            <w:tcW w:w="1680" w:type="dxa"/>
            <w:vAlign w:val="center"/>
          </w:tcPr>
          <w:p w14:paraId="36552B81">
            <w:pPr>
              <w:widowControl/>
              <w:jc w:val="center"/>
              <w:rPr>
                <w:rFonts w:hint="eastAsia" w:ascii="宋体" w:hAnsi="宋体" w:cs="宋体"/>
                <w:kern w:val="0"/>
              </w:rPr>
            </w:pPr>
            <w:r>
              <w:rPr>
                <w:rFonts w:hint="eastAsia" w:ascii="宋体" w:hAnsi="宋体" w:cs="宋体"/>
                <w:kern w:val="0"/>
              </w:rPr>
              <w:t>鲜嫩甜香</w:t>
            </w:r>
          </w:p>
        </w:tc>
        <w:tc>
          <w:tcPr>
            <w:tcW w:w="1155" w:type="dxa"/>
            <w:vAlign w:val="center"/>
          </w:tcPr>
          <w:p w14:paraId="7C72C0F6">
            <w:pPr>
              <w:widowControl/>
              <w:jc w:val="center"/>
              <w:rPr>
                <w:rFonts w:hint="eastAsia" w:ascii="宋体" w:hAnsi="宋体" w:cs="宋体"/>
                <w:kern w:val="0"/>
              </w:rPr>
            </w:pPr>
            <w:r>
              <w:rPr>
                <w:rFonts w:hint="eastAsia" w:ascii="宋体" w:hAnsi="宋体" w:cs="宋体"/>
                <w:kern w:val="0"/>
              </w:rPr>
              <w:t>红明亮</w:t>
            </w:r>
          </w:p>
        </w:tc>
        <w:tc>
          <w:tcPr>
            <w:tcW w:w="722" w:type="dxa"/>
            <w:vAlign w:val="center"/>
          </w:tcPr>
          <w:p w14:paraId="59619A0C">
            <w:pPr>
              <w:widowControl/>
              <w:jc w:val="center"/>
              <w:rPr>
                <w:rFonts w:hint="eastAsia" w:ascii="宋体" w:hAnsi="宋体" w:cs="宋体"/>
                <w:kern w:val="0"/>
              </w:rPr>
            </w:pPr>
            <w:r>
              <w:rPr>
                <w:rFonts w:hint="eastAsia" w:ascii="宋体" w:hAnsi="宋体" w:cs="宋体"/>
                <w:kern w:val="0"/>
              </w:rPr>
              <w:t>醇厚甘爽</w:t>
            </w:r>
          </w:p>
        </w:tc>
        <w:tc>
          <w:tcPr>
            <w:tcW w:w="1496" w:type="dxa"/>
            <w:vAlign w:val="center"/>
          </w:tcPr>
          <w:p w14:paraId="105FA1CB">
            <w:pPr>
              <w:widowControl/>
              <w:jc w:val="center"/>
              <w:rPr>
                <w:rFonts w:hint="eastAsia" w:ascii="宋体" w:hAnsi="宋体" w:cs="宋体"/>
                <w:kern w:val="0"/>
              </w:rPr>
            </w:pPr>
            <w:r>
              <w:rPr>
                <w:rFonts w:hint="eastAsia" w:ascii="宋体" w:hAnsi="宋体" w:cs="宋体"/>
                <w:kern w:val="0"/>
              </w:rPr>
              <w:t>细嫩显芽红匀亮</w:t>
            </w:r>
          </w:p>
        </w:tc>
      </w:tr>
      <w:tr w14:paraId="7E997E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Align w:val="center"/>
          </w:tcPr>
          <w:p w14:paraId="7482A5EB">
            <w:pPr>
              <w:widowControl/>
              <w:jc w:val="center"/>
              <w:rPr>
                <w:rFonts w:hint="eastAsia" w:ascii="宋体" w:hAnsi="宋体" w:cs="宋体"/>
                <w:kern w:val="0"/>
              </w:rPr>
            </w:pPr>
            <w:r>
              <w:rPr>
                <w:rFonts w:hint="eastAsia" w:ascii="宋体" w:hAnsi="宋体" w:cs="宋体"/>
                <w:kern w:val="0"/>
              </w:rPr>
              <w:t>一级</w:t>
            </w:r>
          </w:p>
        </w:tc>
        <w:tc>
          <w:tcPr>
            <w:tcW w:w="1077" w:type="dxa"/>
            <w:vAlign w:val="center"/>
          </w:tcPr>
          <w:p w14:paraId="5324268D">
            <w:pPr>
              <w:widowControl/>
              <w:jc w:val="center"/>
              <w:rPr>
                <w:rFonts w:hint="eastAsia" w:ascii="宋体" w:hAnsi="宋体" w:cs="宋体"/>
                <w:kern w:val="0"/>
              </w:rPr>
            </w:pPr>
            <w:r>
              <w:rPr>
                <w:rFonts w:hint="eastAsia" w:ascii="宋体" w:hAnsi="宋体" w:cs="宋体"/>
                <w:kern w:val="0"/>
              </w:rPr>
              <w:t>细紧有锋苗</w:t>
            </w:r>
          </w:p>
        </w:tc>
        <w:tc>
          <w:tcPr>
            <w:tcW w:w="827" w:type="dxa"/>
            <w:vAlign w:val="center"/>
          </w:tcPr>
          <w:p w14:paraId="2CE7C491">
            <w:pPr>
              <w:widowControl/>
              <w:jc w:val="center"/>
              <w:rPr>
                <w:rFonts w:hint="eastAsia" w:ascii="宋体" w:hAnsi="宋体" w:cs="宋体"/>
                <w:kern w:val="0"/>
              </w:rPr>
            </w:pPr>
            <w:r>
              <w:rPr>
                <w:rFonts w:hint="eastAsia" w:ascii="宋体" w:hAnsi="宋体" w:cs="宋体"/>
                <w:kern w:val="0"/>
              </w:rPr>
              <w:t>较匀齐、</w:t>
            </w:r>
          </w:p>
        </w:tc>
        <w:tc>
          <w:tcPr>
            <w:tcW w:w="945" w:type="dxa"/>
            <w:vAlign w:val="center"/>
          </w:tcPr>
          <w:p w14:paraId="526CC43E">
            <w:pPr>
              <w:widowControl/>
              <w:jc w:val="center"/>
              <w:rPr>
                <w:rFonts w:hint="eastAsia" w:ascii="宋体" w:hAnsi="宋体" w:cs="宋体"/>
                <w:kern w:val="0"/>
              </w:rPr>
            </w:pPr>
            <w:r>
              <w:rPr>
                <w:rFonts w:hint="eastAsia" w:ascii="宋体" w:hAnsi="宋体" w:cs="宋体"/>
                <w:kern w:val="0"/>
              </w:rPr>
              <w:t>净稍含嫩茎</w:t>
            </w:r>
          </w:p>
        </w:tc>
        <w:tc>
          <w:tcPr>
            <w:tcW w:w="1063" w:type="dxa"/>
            <w:vAlign w:val="center"/>
          </w:tcPr>
          <w:p w14:paraId="31B168FF">
            <w:pPr>
              <w:widowControl/>
              <w:jc w:val="center"/>
              <w:rPr>
                <w:rFonts w:hint="eastAsia" w:ascii="宋体" w:hAnsi="宋体" w:cs="宋体"/>
                <w:kern w:val="0"/>
              </w:rPr>
            </w:pPr>
            <w:r>
              <w:rPr>
                <w:rFonts w:hint="eastAsia" w:ascii="宋体" w:hAnsi="宋体" w:cs="宋体"/>
                <w:kern w:val="0"/>
              </w:rPr>
              <w:t>乌润</w:t>
            </w:r>
          </w:p>
        </w:tc>
        <w:tc>
          <w:tcPr>
            <w:tcW w:w="1680" w:type="dxa"/>
            <w:vAlign w:val="center"/>
          </w:tcPr>
          <w:p w14:paraId="7E15DCBE">
            <w:pPr>
              <w:widowControl/>
              <w:jc w:val="center"/>
              <w:rPr>
                <w:rFonts w:hint="eastAsia" w:ascii="宋体" w:hAnsi="宋体" w:cs="宋体"/>
                <w:kern w:val="0"/>
              </w:rPr>
            </w:pPr>
            <w:r>
              <w:rPr>
                <w:rFonts w:hint="eastAsia" w:ascii="宋体" w:hAnsi="宋体" w:cs="宋体"/>
                <w:kern w:val="0"/>
              </w:rPr>
              <w:t>嫩甜香</w:t>
            </w:r>
          </w:p>
        </w:tc>
        <w:tc>
          <w:tcPr>
            <w:tcW w:w="1155" w:type="dxa"/>
            <w:vAlign w:val="center"/>
          </w:tcPr>
          <w:p w14:paraId="27C26A9F">
            <w:pPr>
              <w:widowControl/>
              <w:jc w:val="center"/>
              <w:rPr>
                <w:rFonts w:hint="eastAsia" w:ascii="宋体" w:hAnsi="宋体" w:cs="宋体"/>
                <w:kern w:val="0"/>
              </w:rPr>
            </w:pPr>
            <w:r>
              <w:rPr>
                <w:rFonts w:hint="eastAsia" w:ascii="宋体" w:hAnsi="宋体" w:cs="宋体"/>
                <w:kern w:val="0"/>
              </w:rPr>
              <w:t>红亮</w:t>
            </w:r>
          </w:p>
        </w:tc>
        <w:tc>
          <w:tcPr>
            <w:tcW w:w="722" w:type="dxa"/>
            <w:vAlign w:val="center"/>
          </w:tcPr>
          <w:p w14:paraId="68812A81">
            <w:pPr>
              <w:widowControl/>
              <w:jc w:val="center"/>
              <w:rPr>
                <w:rFonts w:hint="eastAsia" w:ascii="宋体" w:hAnsi="宋体" w:cs="宋体"/>
                <w:kern w:val="0"/>
              </w:rPr>
            </w:pPr>
            <w:r>
              <w:rPr>
                <w:rFonts w:hint="eastAsia" w:ascii="宋体" w:hAnsi="宋体" w:cs="宋体"/>
                <w:kern w:val="0"/>
              </w:rPr>
              <w:t>醇厚爽口</w:t>
            </w:r>
          </w:p>
        </w:tc>
        <w:tc>
          <w:tcPr>
            <w:tcW w:w="1496" w:type="dxa"/>
            <w:vAlign w:val="center"/>
          </w:tcPr>
          <w:p w14:paraId="3E488169">
            <w:pPr>
              <w:widowControl/>
              <w:jc w:val="center"/>
              <w:rPr>
                <w:rFonts w:hint="eastAsia" w:ascii="宋体" w:hAnsi="宋体" w:cs="宋体"/>
                <w:kern w:val="0"/>
              </w:rPr>
            </w:pPr>
            <w:r>
              <w:rPr>
                <w:rFonts w:hint="eastAsia" w:ascii="宋体" w:hAnsi="宋体" w:cs="宋体"/>
                <w:kern w:val="0"/>
              </w:rPr>
              <w:t>嫩匀有芽红亮</w:t>
            </w:r>
          </w:p>
        </w:tc>
      </w:tr>
      <w:tr w14:paraId="5371AE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Align w:val="center"/>
          </w:tcPr>
          <w:p w14:paraId="618C2BD1">
            <w:pPr>
              <w:widowControl/>
              <w:jc w:val="center"/>
              <w:rPr>
                <w:rFonts w:hint="eastAsia" w:ascii="宋体" w:hAnsi="宋体" w:cs="宋体"/>
                <w:kern w:val="0"/>
              </w:rPr>
            </w:pPr>
            <w:r>
              <w:rPr>
                <w:rFonts w:hint="eastAsia" w:ascii="宋体" w:hAnsi="宋体" w:cs="宋体"/>
                <w:kern w:val="0"/>
              </w:rPr>
              <w:t>二级</w:t>
            </w:r>
          </w:p>
        </w:tc>
        <w:tc>
          <w:tcPr>
            <w:tcW w:w="1077" w:type="dxa"/>
            <w:vAlign w:val="center"/>
          </w:tcPr>
          <w:p w14:paraId="5979EC55">
            <w:pPr>
              <w:widowControl/>
              <w:jc w:val="center"/>
              <w:rPr>
                <w:rFonts w:hint="eastAsia" w:ascii="宋体" w:hAnsi="宋体" w:cs="宋体"/>
                <w:kern w:val="0"/>
              </w:rPr>
            </w:pPr>
            <w:r>
              <w:rPr>
                <w:rFonts w:hint="eastAsia" w:ascii="宋体" w:hAnsi="宋体" w:cs="宋体"/>
                <w:kern w:val="0"/>
              </w:rPr>
              <w:t>紧细</w:t>
            </w:r>
          </w:p>
        </w:tc>
        <w:tc>
          <w:tcPr>
            <w:tcW w:w="827" w:type="dxa"/>
            <w:vAlign w:val="center"/>
          </w:tcPr>
          <w:p w14:paraId="356C58F0">
            <w:pPr>
              <w:widowControl/>
              <w:jc w:val="center"/>
              <w:rPr>
                <w:rFonts w:hint="eastAsia" w:ascii="宋体" w:hAnsi="宋体" w:cs="宋体"/>
                <w:kern w:val="0"/>
              </w:rPr>
            </w:pPr>
            <w:r>
              <w:rPr>
                <w:rFonts w:hint="eastAsia" w:ascii="宋体" w:hAnsi="宋体" w:cs="宋体"/>
                <w:kern w:val="0"/>
              </w:rPr>
              <w:t>匀整</w:t>
            </w:r>
          </w:p>
        </w:tc>
        <w:tc>
          <w:tcPr>
            <w:tcW w:w="945" w:type="dxa"/>
            <w:vAlign w:val="center"/>
          </w:tcPr>
          <w:p w14:paraId="189CC3C9">
            <w:pPr>
              <w:widowControl/>
              <w:jc w:val="center"/>
              <w:rPr>
                <w:rFonts w:hint="eastAsia" w:ascii="宋体" w:hAnsi="宋体" w:cs="宋体"/>
                <w:kern w:val="0"/>
              </w:rPr>
            </w:pPr>
            <w:r>
              <w:rPr>
                <w:rFonts w:hint="eastAsia" w:ascii="宋体" w:hAnsi="宋体" w:cs="宋体"/>
                <w:kern w:val="0"/>
              </w:rPr>
              <w:t>尚净有嫩茎</w:t>
            </w:r>
          </w:p>
        </w:tc>
        <w:tc>
          <w:tcPr>
            <w:tcW w:w="1063" w:type="dxa"/>
            <w:vAlign w:val="center"/>
          </w:tcPr>
          <w:p w14:paraId="510FAC44">
            <w:pPr>
              <w:widowControl/>
              <w:jc w:val="center"/>
              <w:rPr>
                <w:rFonts w:hint="eastAsia" w:ascii="宋体" w:hAnsi="宋体" w:cs="宋体"/>
                <w:kern w:val="0"/>
              </w:rPr>
            </w:pPr>
            <w:r>
              <w:rPr>
                <w:rFonts w:hint="eastAsia" w:ascii="宋体" w:hAnsi="宋体" w:cs="宋体"/>
                <w:kern w:val="0"/>
              </w:rPr>
              <w:t>乌尚润</w:t>
            </w:r>
          </w:p>
        </w:tc>
        <w:tc>
          <w:tcPr>
            <w:tcW w:w="1680" w:type="dxa"/>
            <w:vAlign w:val="center"/>
          </w:tcPr>
          <w:p w14:paraId="61509A06">
            <w:pPr>
              <w:widowControl/>
              <w:jc w:val="center"/>
              <w:rPr>
                <w:rFonts w:hint="eastAsia" w:ascii="宋体" w:hAnsi="宋体" w:cs="宋体"/>
                <w:kern w:val="0"/>
              </w:rPr>
            </w:pPr>
            <w:r>
              <w:rPr>
                <w:rFonts w:hint="eastAsia" w:ascii="宋体" w:hAnsi="宋体" w:cs="宋体"/>
                <w:kern w:val="0"/>
              </w:rPr>
              <w:t>甜香</w:t>
            </w:r>
          </w:p>
        </w:tc>
        <w:tc>
          <w:tcPr>
            <w:tcW w:w="1155" w:type="dxa"/>
            <w:vAlign w:val="center"/>
          </w:tcPr>
          <w:p w14:paraId="6C31B28A">
            <w:pPr>
              <w:widowControl/>
              <w:jc w:val="center"/>
              <w:rPr>
                <w:rFonts w:hint="eastAsia" w:ascii="宋体" w:hAnsi="宋体" w:cs="宋体"/>
                <w:kern w:val="0"/>
              </w:rPr>
            </w:pPr>
            <w:r>
              <w:rPr>
                <w:rFonts w:hint="eastAsia" w:ascii="宋体" w:hAnsi="宋体" w:cs="宋体"/>
                <w:kern w:val="0"/>
              </w:rPr>
              <w:t>红明</w:t>
            </w:r>
          </w:p>
        </w:tc>
        <w:tc>
          <w:tcPr>
            <w:tcW w:w="722" w:type="dxa"/>
            <w:vAlign w:val="center"/>
          </w:tcPr>
          <w:p w14:paraId="499B5A95">
            <w:pPr>
              <w:widowControl/>
              <w:jc w:val="center"/>
              <w:rPr>
                <w:rFonts w:hint="eastAsia" w:ascii="宋体" w:hAnsi="宋体" w:cs="宋体"/>
                <w:kern w:val="0"/>
              </w:rPr>
            </w:pPr>
            <w:r>
              <w:rPr>
                <w:rFonts w:hint="eastAsia" w:ascii="宋体" w:hAnsi="宋体" w:cs="宋体"/>
                <w:kern w:val="0"/>
              </w:rPr>
              <w:t>醇和尚爽</w:t>
            </w:r>
          </w:p>
        </w:tc>
        <w:tc>
          <w:tcPr>
            <w:tcW w:w="1496" w:type="dxa"/>
            <w:vAlign w:val="center"/>
          </w:tcPr>
          <w:p w14:paraId="67EEE91B">
            <w:pPr>
              <w:widowControl/>
              <w:jc w:val="center"/>
              <w:rPr>
                <w:rFonts w:hint="eastAsia" w:ascii="宋体" w:hAnsi="宋体" w:cs="宋体"/>
                <w:kern w:val="0"/>
              </w:rPr>
            </w:pPr>
            <w:r>
              <w:rPr>
                <w:rFonts w:hint="eastAsia" w:ascii="宋体" w:hAnsi="宋体" w:cs="宋体"/>
                <w:kern w:val="0"/>
              </w:rPr>
              <w:t>嫩匀红尚亮。</w:t>
            </w:r>
          </w:p>
        </w:tc>
      </w:tr>
    </w:tbl>
    <w:p w14:paraId="4B52F541">
      <w:pPr>
        <w:pStyle w:val="65"/>
        <w:spacing w:before="156" w:after="156"/>
      </w:pPr>
      <w:r>
        <w:rPr>
          <w:rFonts w:hint="eastAsia"/>
        </w:rPr>
        <w:t>理化指标</w:t>
      </w:r>
    </w:p>
    <w:p w14:paraId="4897942E">
      <w:pPr>
        <w:pStyle w:val="56"/>
        <w:ind w:firstLine="420"/>
      </w:pPr>
      <w:r>
        <w:rPr>
          <w:rFonts w:hint="eastAsia"/>
        </w:rPr>
        <w:t>理化指标应符合表2的规定。</w:t>
      </w:r>
    </w:p>
    <w:p w14:paraId="7A1C932E">
      <w:pPr>
        <w:pStyle w:val="112"/>
        <w:spacing w:before="156" w:after="156"/>
      </w:pPr>
      <w:r>
        <w:rPr>
          <w:rFonts w:hint="eastAsia"/>
        </w:rPr>
        <w:t>理化指标</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67"/>
        <w:gridCol w:w="4667"/>
      </w:tblGrid>
      <w:tr w14:paraId="111E7D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667" w:type="dxa"/>
            <w:tcBorders>
              <w:top w:val="single" w:color="auto" w:sz="8" w:space="0"/>
              <w:bottom w:val="single" w:color="auto" w:sz="8" w:space="0"/>
            </w:tcBorders>
            <w:vAlign w:val="center"/>
          </w:tcPr>
          <w:p w14:paraId="3547502F">
            <w:pPr>
              <w:pStyle w:val="178"/>
            </w:pPr>
            <w:bookmarkStart w:id="61" w:name="_Hlk213250470"/>
            <w:r>
              <w:rPr>
                <w:rFonts w:hint="eastAsia"/>
              </w:rPr>
              <w:t>项目</w:t>
            </w:r>
          </w:p>
        </w:tc>
        <w:tc>
          <w:tcPr>
            <w:tcW w:w="4667" w:type="dxa"/>
            <w:tcBorders>
              <w:top w:val="single" w:color="auto" w:sz="8" w:space="0"/>
              <w:bottom w:val="single" w:color="auto" w:sz="8" w:space="0"/>
            </w:tcBorders>
            <w:vAlign w:val="center"/>
          </w:tcPr>
          <w:p w14:paraId="0BDBFA50">
            <w:pPr>
              <w:pStyle w:val="178"/>
            </w:pPr>
            <w:r>
              <w:rPr>
                <w:rFonts w:hint="eastAsia"/>
              </w:rPr>
              <w:t>指标</w:t>
            </w:r>
          </w:p>
        </w:tc>
      </w:tr>
      <w:tr w14:paraId="2DEDFA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667" w:type="dxa"/>
            <w:tcBorders>
              <w:top w:val="single" w:color="auto" w:sz="8" w:space="0"/>
              <w:bottom w:val="single" w:color="auto" w:sz="8" w:space="0"/>
            </w:tcBorders>
            <w:vAlign w:val="center"/>
          </w:tcPr>
          <w:p w14:paraId="59BC62BA">
            <w:pPr>
              <w:pStyle w:val="178"/>
            </w:pPr>
            <w:r>
              <w:rPr>
                <w:rFonts w:hint="eastAsia"/>
              </w:rPr>
              <w:t>水分（质量分数）/%</w:t>
            </w:r>
            <w:r>
              <w:rPr>
                <w:rFonts w:hint="eastAsia"/>
              </w:rPr>
              <w:tab/>
            </w:r>
            <w:r>
              <w:rPr>
                <w:rFonts w:hint="eastAsia"/>
              </w:rPr>
              <w:t>≤</w:t>
            </w:r>
            <w:r>
              <w:rPr>
                <w:rFonts w:hint="eastAsia"/>
              </w:rPr>
              <w:tab/>
            </w:r>
          </w:p>
        </w:tc>
        <w:tc>
          <w:tcPr>
            <w:tcW w:w="4667" w:type="dxa"/>
            <w:tcBorders>
              <w:top w:val="single" w:color="auto" w:sz="8" w:space="0"/>
              <w:bottom w:val="single" w:color="auto" w:sz="8" w:space="0"/>
            </w:tcBorders>
            <w:vAlign w:val="center"/>
          </w:tcPr>
          <w:p w14:paraId="2B2462C5">
            <w:pPr>
              <w:pStyle w:val="178"/>
            </w:pPr>
            <w:r>
              <w:rPr>
                <w:rFonts w:hint="eastAsia"/>
              </w:rPr>
              <w:t>6.0</w:t>
            </w:r>
          </w:p>
        </w:tc>
      </w:tr>
      <w:tr w14:paraId="3EF81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tcBorders>
              <w:top w:val="single" w:color="auto" w:sz="8" w:space="0"/>
            </w:tcBorders>
            <w:vAlign w:val="center"/>
          </w:tcPr>
          <w:p w14:paraId="1DA85AE7">
            <w:pPr>
              <w:pStyle w:val="178"/>
            </w:pPr>
            <w:r>
              <w:rPr>
                <w:rFonts w:hint="eastAsia"/>
              </w:rPr>
              <w:t>碎末茶（质量分数）/%≤</w:t>
            </w:r>
          </w:p>
        </w:tc>
        <w:tc>
          <w:tcPr>
            <w:tcW w:w="4667" w:type="dxa"/>
            <w:tcBorders>
              <w:top w:val="single" w:color="auto" w:sz="8" w:space="0"/>
            </w:tcBorders>
            <w:vAlign w:val="center"/>
          </w:tcPr>
          <w:p w14:paraId="5EB41E37">
            <w:pPr>
              <w:pStyle w:val="178"/>
            </w:pPr>
            <w:r>
              <w:rPr>
                <w:rFonts w:hint="eastAsia"/>
              </w:rPr>
              <w:t>1.0</w:t>
            </w:r>
          </w:p>
        </w:tc>
      </w:tr>
      <w:tr w14:paraId="3AB5E5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vAlign w:val="center"/>
          </w:tcPr>
          <w:p w14:paraId="4F7FDD08">
            <w:pPr>
              <w:pStyle w:val="178"/>
            </w:pPr>
            <w:r>
              <w:rPr>
                <w:rFonts w:hint="eastAsia"/>
              </w:rPr>
              <w:t>总灰分（质量分数）/%≤</w:t>
            </w:r>
          </w:p>
        </w:tc>
        <w:tc>
          <w:tcPr>
            <w:tcW w:w="4667" w:type="dxa"/>
            <w:vAlign w:val="center"/>
          </w:tcPr>
          <w:p w14:paraId="774F5D29">
            <w:pPr>
              <w:pStyle w:val="178"/>
            </w:pPr>
            <w:r>
              <w:rPr>
                <w:rFonts w:hint="eastAsia"/>
              </w:rPr>
              <w:t>6.5</w:t>
            </w:r>
          </w:p>
        </w:tc>
      </w:tr>
      <w:tr w14:paraId="7172D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vAlign w:val="center"/>
          </w:tcPr>
          <w:p w14:paraId="6F28D616">
            <w:pPr>
              <w:pStyle w:val="178"/>
            </w:pPr>
            <w:r>
              <w:rPr>
                <w:rFonts w:hint="eastAsia"/>
              </w:rPr>
              <w:t>水浸出物（质量分数）/%≥</w:t>
            </w:r>
          </w:p>
        </w:tc>
        <w:tc>
          <w:tcPr>
            <w:tcW w:w="4667" w:type="dxa"/>
            <w:vAlign w:val="center"/>
          </w:tcPr>
          <w:p w14:paraId="0CAA0447">
            <w:pPr>
              <w:pStyle w:val="178"/>
            </w:pPr>
            <w:r>
              <w:rPr>
                <w:rFonts w:hint="eastAsia"/>
              </w:rPr>
              <w:t>40.0</w:t>
            </w:r>
          </w:p>
        </w:tc>
      </w:tr>
      <w:tr w14:paraId="64E409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tcBorders>
              <w:bottom w:val="single" w:color="auto" w:sz="4" w:space="0"/>
            </w:tcBorders>
            <w:vAlign w:val="center"/>
          </w:tcPr>
          <w:p w14:paraId="5E70CAC5">
            <w:pPr>
              <w:pStyle w:val="178"/>
            </w:pPr>
            <w:r>
              <w:rPr>
                <w:rFonts w:hint="eastAsia"/>
              </w:rPr>
              <w:t>粗纤维（质量分数）/%≤</w:t>
            </w:r>
          </w:p>
        </w:tc>
        <w:tc>
          <w:tcPr>
            <w:tcW w:w="4667" w:type="dxa"/>
            <w:tcBorders>
              <w:bottom w:val="single" w:color="auto" w:sz="4" w:space="0"/>
            </w:tcBorders>
            <w:vAlign w:val="center"/>
          </w:tcPr>
          <w:p w14:paraId="281FBEB6">
            <w:pPr>
              <w:pStyle w:val="178"/>
            </w:pPr>
            <w:r>
              <w:rPr>
                <w:rFonts w:hint="eastAsia"/>
              </w:rPr>
              <w:t>16.0</w:t>
            </w:r>
          </w:p>
        </w:tc>
      </w:tr>
      <w:tr w14:paraId="5B73C3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tcBorders>
              <w:top w:val="single" w:color="auto" w:sz="4" w:space="0"/>
              <w:bottom w:val="single" w:color="auto" w:sz="4" w:space="0"/>
            </w:tcBorders>
            <w:vAlign w:val="center"/>
          </w:tcPr>
          <w:p w14:paraId="1B3E4B78">
            <w:pPr>
              <w:pStyle w:val="178"/>
            </w:pPr>
            <w:r>
              <w:rPr>
                <w:rFonts w:hint="eastAsia"/>
              </w:rPr>
              <w:t>咖啡碱（质量分数）/%≥</w:t>
            </w:r>
          </w:p>
        </w:tc>
        <w:tc>
          <w:tcPr>
            <w:tcW w:w="4667" w:type="dxa"/>
            <w:tcBorders>
              <w:top w:val="single" w:color="auto" w:sz="4" w:space="0"/>
              <w:bottom w:val="single" w:color="auto" w:sz="4" w:space="0"/>
            </w:tcBorders>
            <w:vAlign w:val="center"/>
          </w:tcPr>
          <w:p w14:paraId="3FE1FB55">
            <w:pPr>
              <w:pStyle w:val="178"/>
            </w:pPr>
            <w:r>
              <w:rPr>
                <w:rFonts w:hint="eastAsia"/>
              </w:rPr>
              <w:t>2.8</w:t>
            </w:r>
          </w:p>
        </w:tc>
      </w:tr>
      <w:tr w14:paraId="3F05D1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tcBorders>
              <w:top w:val="single" w:color="auto" w:sz="4" w:space="0"/>
            </w:tcBorders>
            <w:vAlign w:val="center"/>
          </w:tcPr>
          <w:p w14:paraId="0318F9A8">
            <w:pPr>
              <w:pStyle w:val="178"/>
            </w:pPr>
            <w:r>
              <w:rPr>
                <w:rFonts w:hint="eastAsia"/>
              </w:rPr>
              <w:t>茶多酚（质量分数）/%≥</w:t>
            </w:r>
          </w:p>
        </w:tc>
        <w:tc>
          <w:tcPr>
            <w:tcW w:w="4667" w:type="dxa"/>
            <w:tcBorders>
              <w:top w:val="single" w:color="auto" w:sz="4" w:space="0"/>
            </w:tcBorders>
            <w:vAlign w:val="center"/>
          </w:tcPr>
          <w:p w14:paraId="702E65D7">
            <w:pPr>
              <w:pStyle w:val="178"/>
            </w:pPr>
            <w:r>
              <w:rPr>
                <w:rFonts w:hint="eastAsia"/>
              </w:rPr>
              <w:t>10</w:t>
            </w:r>
          </w:p>
        </w:tc>
      </w:tr>
      <w:tr w14:paraId="4D7E3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tcBorders>
              <w:bottom w:val="single" w:color="auto" w:sz="4" w:space="0"/>
            </w:tcBorders>
            <w:vAlign w:val="center"/>
          </w:tcPr>
          <w:p w14:paraId="5D4AED2F">
            <w:pPr>
              <w:pStyle w:val="178"/>
            </w:pPr>
            <w:r>
              <w:rPr>
                <w:rFonts w:hint="eastAsia"/>
              </w:rPr>
              <w:t>注：茶多酚、咖啡碱项目为参考性指标</w:t>
            </w:r>
          </w:p>
        </w:tc>
        <w:tc>
          <w:tcPr>
            <w:tcW w:w="4667" w:type="dxa"/>
            <w:tcBorders>
              <w:bottom w:val="single" w:color="auto" w:sz="4" w:space="0"/>
            </w:tcBorders>
            <w:vAlign w:val="center"/>
          </w:tcPr>
          <w:p w14:paraId="1E7A1B83">
            <w:pPr>
              <w:pStyle w:val="178"/>
            </w:pPr>
          </w:p>
        </w:tc>
      </w:tr>
      <w:bookmarkEnd w:id="61"/>
    </w:tbl>
    <w:p w14:paraId="7E4E0E69">
      <w:pPr>
        <w:pStyle w:val="65"/>
        <w:spacing w:before="156" w:after="156"/>
      </w:pPr>
      <w:bookmarkStart w:id="62" w:name="_Hlk217049802"/>
      <w:r>
        <w:rPr>
          <w:rFonts w:hint="eastAsia"/>
        </w:rPr>
        <w:t>净含量</w:t>
      </w:r>
    </w:p>
    <w:p w14:paraId="138BC144">
      <w:pPr>
        <w:pStyle w:val="56"/>
        <w:ind w:firstLine="420"/>
      </w:pPr>
      <w:r>
        <w:rPr>
          <w:rFonts w:hint="eastAsia"/>
        </w:rPr>
        <w:t>单件定量包装茶叶净含量的规定见《定量包装商品计量监督管理办法》。</w:t>
      </w:r>
    </w:p>
    <w:bookmarkEnd w:id="62"/>
    <w:p w14:paraId="73820F90">
      <w:pPr>
        <w:pStyle w:val="104"/>
        <w:spacing w:before="312" w:after="312"/>
      </w:pPr>
      <w:bookmarkStart w:id="63" w:name="_Hlk213250906"/>
      <w:r>
        <w:rPr>
          <w:rFonts w:hint="eastAsia"/>
        </w:rPr>
        <w:t>检验方法</w:t>
      </w:r>
    </w:p>
    <w:p w14:paraId="5F9BFA8D">
      <w:pPr>
        <w:pStyle w:val="105"/>
        <w:spacing w:before="156" w:after="156"/>
      </w:pPr>
      <w:r>
        <w:rPr>
          <w:rFonts w:hint="eastAsia"/>
        </w:rPr>
        <w:t>　感官品质</w:t>
      </w:r>
    </w:p>
    <w:p w14:paraId="7DE7DB25">
      <w:pPr>
        <w:pStyle w:val="56"/>
        <w:ind w:firstLine="420"/>
      </w:pPr>
      <w:r>
        <w:rPr>
          <w:rFonts w:hint="eastAsia"/>
        </w:rPr>
        <w:t>按GB/T 14487及GB/T 23776的规定执行。</w:t>
      </w:r>
    </w:p>
    <w:p w14:paraId="42CF182C">
      <w:pPr>
        <w:pStyle w:val="105"/>
        <w:spacing w:before="156" w:after="156"/>
      </w:pPr>
      <w:r>
        <w:rPr>
          <w:rFonts w:hint="eastAsia"/>
        </w:rPr>
        <w:t>理化指标</w:t>
      </w:r>
    </w:p>
    <w:p w14:paraId="1DDF2209">
      <w:pPr>
        <w:pStyle w:val="65"/>
        <w:spacing w:before="156" w:after="156"/>
      </w:pPr>
      <w:r>
        <w:rPr>
          <w:rFonts w:hint="eastAsia"/>
        </w:rPr>
        <w:t>水分按GB 5009.3的规定执行。</w:t>
      </w:r>
    </w:p>
    <w:p w14:paraId="142962C7">
      <w:pPr>
        <w:pStyle w:val="65"/>
        <w:spacing w:before="156" w:after="156"/>
      </w:pPr>
      <w:r>
        <w:rPr>
          <w:rFonts w:hint="eastAsia"/>
        </w:rPr>
        <w:t>碎末按GB/T 8311的规定执行。</w:t>
      </w:r>
    </w:p>
    <w:p w14:paraId="12BF25EA">
      <w:pPr>
        <w:pStyle w:val="65"/>
        <w:spacing w:before="156" w:after="156"/>
      </w:pPr>
      <w:r>
        <w:rPr>
          <w:rFonts w:hint="eastAsia"/>
        </w:rPr>
        <w:t>总灰分按GB5009.4的规定执行。</w:t>
      </w:r>
    </w:p>
    <w:p w14:paraId="4A1E4FA2">
      <w:pPr>
        <w:pStyle w:val="65"/>
        <w:spacing w:before="156" w:after="156"/>
      </w:pPr>
      <w:r>
        <w:rPr>
          <w:rFonts w:hint="eastAsia"/>
        </w:rPr>
        <w:t>水浸出物按GB/T 8305的规定执行。</w:t>
      </w:r>
    </w:p>
    <w:p w14:paraId="07E1DA96">
      <w:pPr>
        <w:pStyle w:val="65"/>
        <w:spacing w:before="156" w:after="156"/>
      </w:pPr>
      <w:r>
        <w:rPr>
          <w:rFonts w:hint="eastAsia"/>
        </w:rPr>
        <w:t>粗纤维按GB/T8310的规定执行。</w:t>
      </w:r>
    </w:p>
    <w:p w14:paraId="7E8B7312">
      <w:pPr>
        <w:pStyle w:val="65"/>
        <w:spacing w:before="156" w:after="156"/>
      </w:pPr>
      <w:r>
        <w:rPr>
          <w:rFonts w:hint="eastAsia"/>
        </w:rPr>
        <w:t>咖啡碱按GB/T 8312的规定执行。</w:t>
      </w:r>
    </w:p>
    <w:p w14:paraId="46CA7DCA">
      <w:pPr>
        <w:pStyle w:val="65"/>
        <w:spacing w:before="156" w:after="156"/>
      </w:pPr>
      <w:r>
        <w:rPr>
          <w:rFonts w:hint="eastAsia"/>
        </w:rPr>
        <w:t>茶多酚按GB/T 8313的规定执行。</w:t>
      </w:r>
    </w:p>
    <w:p w14:paraId="614878C9">
      <w:pPr>
        <w:pStyle w:val="105"/>
        <w:spacing w:before="156" w:after="156"/>
      </w:pPr>
      <w:r>
        <w:rPr>
          <w:rFonts w:hint="eastAsia"/>
        </w:rPr>
        <w:t>净含量</w:t>
      </w:r>
    </w:p>
    <w:p w14:paraId="344E9F05">
      <w:pPr>
        <w:pStyle w:val="56"/>
        <w:ind w:firstLine="420"/>
      </w:pPr>
      <w:r>
        <w:rPr>
          <w:rFonts w:hint="eastAsia"/>
        </w:rPr>
        <w:t>按JJF 1070的规定执行</w:t>
      </w:r>
    </w:p>
    <w:p w14:paraId="47376127">
      <w:pPr>
        <w:pStyle w:val="104"/>
        <w:spacing w:before="312" w:after="312"/>
      </w:pPr>
      <w:bookmarkStart w:id="64" w:name="_Hlk217050043"/>
      <w:r>
        <w:rPr>
          <w:rFonts w:hint="eastAsia"/>
        </w:rPr>
        <w:t>检验规则</w:t>
      </w:r>
    </w:p>
    <w:p w14:paraId="3296E2F2">
      <w:pPr>
        <w:pStyle w:val="105"/>
        <w:spacing w:before="156" w:after="156"/>
      </w:pPr>
      <w:r>
        <w:rPr>
          <w:rFonts w:hint="eastAsia"/>
        </w:rPr>
        <w:t>组批规则与取样方法</w:t>
      </w:r>
    </w:p>
    <w:p w14:paraId="618D2638">
      <w:pPr>
        <w:pStyle w:val="65"/>
        <w:spacing w:before="156" w:after="156"/>
      </w:pPr>
      <w:r>
        <w:rPr>
          <w:rFonts w:hint="eastAsia"/>
        </w:rPr>
        <w:t>组批规则</w:t>
      </w:r>
    </w:p>
    <w:p w14:paraId="7F00170B">
      <w:pPr>
        <w:pStyle w:val="105"/>
        <w:numPr>
          <w:ilvl w:val="0"/>
          <w:numId w:val="0"/>
        </w:numPr>
        <w:spacing w:before="156" w:after="156"/>
        <w:ind w:firstLine="630" w:firstLineChars="300"/>
        <w:rPr>
          <w:rFonts w:ascii="Times New Roman" w:eastAsia="宋体"/>
        </w:rPr>
      </w:pPr>
      <w:r>
        <w:rPr>
          <w:rFonts w:hint="eastAsia" w:ascii="Times New Roman" w:eastAsia="宋体"/>
        </w:rPr>
        <w:t>以同一生产周期内相同产品类别相同等级的产品为一批。</w:t>
      </w:r>
    </w:p>
    <w:p w14:paraId="418105FE">
      <w:pPr>
        <w:pStyle w:val="65"/>
        <w:spacing w:before="156" w:after="156"/>
      </w:pPr>
      <w:r>
        <w:rPr>
          <w:rFonts w:hint="eastAsia"/>
        </w:rPr>
        <w:t>取样</w:t>
      </w:r>
    </w:p>
    <w:p w14:paraId="0DCFCB00">
      <w:pPr>
        <w:pStyle w:val="56"/>
        <w:ind w:firstLine="420"/>
      </w:pPr>
      <w:r>
        <w:rPr>
          <w:rFonts w:hint="eastAsia"/>
        </w:rPr>
        <w:t>按GB/T 8302规定执行。</w:t>
      </w:r>
    </w:p>
    <w:p w14:paraId="77AB7DC9">
      <w:pPr>
        <w:pStyle w:val="105"/>
        <w:spacing w:before="156" w:after="156"/>
      </w:pPr>
      <w:r>
        <w:rPr>
          <w:rFonts w:hint="eastAsia"/>
        </w:rPr>
        <w:t>检验</w:t>
      </w:r>
    </w:p>
    <w:p w14:paraId="09059078">
      <w:pPr>
        <w:pStyle w:val="65"/>
        <w:spacing w:before="156" w:after="156"/>
      </w:pPr>
      <w:r>
        <w:rPr>
          <w:rFonts w:hint="eastAsia"/>
        </w:rPr>
        <w:t>出厂检验</w:t>
      </w:r>
    </w:p>
    <w:p w14:paraId="3583F63B">
      <w:pPr>
        <w:pStyle w:val="56"/>
        <w:ind w:firstLine="420"/>
      </w:pPr>
      <w:r>
        <w:rPr>
          <w:rFonts w:hint="eastAsia"/>
        </w:rPr>
        <w:t>每批产品出厂对感官品质、水分、粉末和净含量进行检验，检验合格方能出厂。</w:t>
      </w:r>
    </w:p>
    <w:p w14:paraId="2289F679">
      <w:pPr>
        <w:pStyle w:val="65"/>
        <w:spacing w:before="156" w:after="156"/>
      </w:pPr>
      <w:r>
        <w:rPr>
          <w:rFonts w:hint="eastAsia"/>
        </w:rPr>
        <w:t>型式检验</w:t>
      </w:r>
    </w:p>
    <w:p w14:paraId="21C14CE9">
      <w:pPr>
        <w:pStyle w:val="56"/>
        <w:ind w:firstLine="420"/>
      </w:pPr>
      <w:r>
        <w:rPr>
          <w:rFonts w:hint="eastAsia"/>
        </w:rPr>
        <w:t>型式检验项目包括本文件6.5规定的全部项目，</w:t>
      </w:r>
      <w:r>
        <w:t xml:space="preserve"> </w:t>
      </w:r>
      <w:r>
        <w:rPr>
          <w:rFonts w:hint="eastAsia"/>
        </w:rPr>
        <w:t>每年应对产品进行一次型式检验,有下列情况之一,亦应进行型式检验:</w:t>
      </w:r>
    </w:p>
    <w:p w14:paraId="0FB04F07">
      <w:pPr>
        <w:pStyle w:val="56"/>
        <w:ind w:firstLine="420"/>
      </w:pPr>
      <w:r>
        <w:rPr>
          <w:rFonts w:hint="eastAsia"/>
        </w:rPr>
        <w:t>a) 停产一年恢复生产时;</w:t>
      </w:r>
    </w:p>
    <w:p w14:paraId="79D484D9">
      <w:pPr>
        <w:pStyle w:val="56"/>
        <w:ind w:firstLine="420"/>
      </w:pPr>
      <w:r>
        <w:rPr>
          <w:rFonts w:hint="eastAsia"/>
        </w:rPr>
        <w:t>b) 出厂检验结果与上次型式检验结果有较大差异时;</w:t>
      </w:r>
    </w:p>
    <w:p w14:paraId="68F979B5">
      <w:pPr>
        <w:pStyle w:val="56"/>
        <w:ind w:firstLine="420"/>
      </w:pPr>
      <w:r>
        <w:rPr>
          <w:rFonts w:hint="eastAsia"/>
        </w:rPr>
        <w:t>c) 国家相关部门提出型式检验要求时。</w:t>
      </w:r>
    </w:p>
    <w:p w14:paraId="45BEFEC7">
      <w:pPr>
        <w:pStyle w:val="105"/>
        <w:spacing w:before="156" w:after="156"/>
      </w:pPr>
      <w:r>
        <w:rPr>
          <w:rFonts w:hint="eastAsia"/>
        </w:rPr>
        <w:t>判定规则</w:t>
      </w:r>
    </w:p>
    <w:p w14:paraId="4B40F2F5">
      <w:pPr>
        <w:pStyle w:val="65"/>
        <w:spacing w:before="156" w:after="156"/>
        <w:rPr>
          <w:rFonts w:hint="eastAsia" w:ascii="宋体" w:hAnsi="宋体" w:eastAsia="宋体"/>
        </w:rPr>
      </w:pPr>
      <w:r>
        <w:rPr>
          <w:rFonts w:hint="eastAsia" w:ascii="宋体" w:hAnsi="宋体" w:eastAsia="宋体"/>
        </w:rPr>
        <w:t>出厂检验项目和型式检验项目如有任一项目首检不符合本文件要求时,可在原批次产品中双倍</w:t>
      </w:r>
    </w:p>
    <w:p w14:paraId="15B5729B">
      <w:pPr>
        <w:pStyle w:val="56"/>
        <w:ind w:firstLine="420"/>
      </w:pPr>
      <w:r>
        <w:rPr>
          <w:rFonts w:hint="eastAsia"/>
        </w:rPr>
        <w:t>抽复检样对不符合的项目进行复检,复检后仍不合格的判定该批产品不符合本文件要求。</w:t>
      </w:r>
    </w:p>
    <w:p w14:paraId="6CFA505D">
      <w:pPr>
        <w:pStyle w:val="65"/>
        <w:spacing w:before="156" w:after="156"/>
      </w:pPr>
      <w:r>
        <w:rPr>
          <w:rFonts w:hint="eastAsia" w:ascii="宋体" w:hAnsi="宋体" w:eastAsia="宋体"/>
        </w:rPr>
        <w:t>对检验结果有争议时,应依法选定检验机构,用复检样对所争议的项目进行复检,以复检结</w:t>
      </w:r>
      <w:r>
        <w:rPr>
          <w:rFonts w:hint="eastAsia"/>
        </w:rPr>
        <w:t>果</w:t>
      </w:r>
      <w:r>
        <w:rPr>
          <w:rFonts w:hint="eastAsia" w:ascii="宋体" w:hAnsi="宋体" w:eastAsia="宋体"/>
        </w:rPr>
        <w:t>为准。</w:t>
      </w:r>
    </w:p>
    <w:p w14:paraId="59E9F87E">
      <w:pPr>
        <w:pStyle w:val="65"/>
        <w:spacing w:before="156" w:after="156"/>
        <w:rPr>
          <w:rFonts w:hint="eastAsia" w:ascii="宋体" w:hAnsi="宋体" w:eastAsia="宋体"/>
        </w:rPr>
      </w:pPr>
      <w:r>
        <w:rPr>
          <w:rFonts w:hint="eastAsia" w:ascii="宋体" w:hAnsi="宋体" w:eastAsia="宋体"/>
        </w:rPr>
        <w:t>参考性指标项目不做判定。</w:t>
      </w:r>
    </w:p>
    <w:p w14:paraId="7FEEEB96">
      <w:pPr>
        <w:pStyle w:val="104"/>
        <w:spacing w:before="312" w:after="312"/>
      </w:pPr>
      <w:r>
        <w:rPr>
          <w:rFonts w:hint="eastAsia"/>
        </w:rPr>
        <w:t>标志、标签</w:t>
      </w:r>
    </w:p>
    <w:p w14:paraId="0BD0D654">
      <w:pPr>
        <w:pStyle w:val="105"/>
        <w:spacing w:before="156" w:after="156"/>
        <w:rPr>
          <w:rFonts w:hint="eastAsia" w:ascii="宋体" w:hAnsi="宋体" w:eastAsia="宋体"/>
        </w:rPr>
      </w:pPr>
      <w:r>
        <w:rPr>
          <w:rFonts w:hint="eastAsia" w:ascii="宋体" w:hAnsi="宋体" w:eastAsia="宋体"/>
        </w:rPr>
        <w:t>符合本文件要求的产品方可在产品标签或包装物上标注地理标志名称及本文件编号,并应同时使用经国家知识产权行政管理部门核准公告的地理标志专用标志。</w:t>
      </w:r>
    </w:p>
    <w:p w14:paraId="65BAF94E">
      <w:pPr>
        <w:pStyle w:val="105"/>
        <w:spacing w:before="156" w:after="156"/>
        <w:rPr>
          <w:rFonts w:hint="eastAsia" w:ascii="宋体" w:hAnsi="宋体" w:eastAsia="宋体"/>
        </w:rPr>
      </w:pPr>
      <w:r>
        <w:rPr>
          <w:rFonts w:hint="eastAsia" w:ascii="宋体" w:hAnsi="宋体" w:eastAsia="宋体"/>
        </w:rPr>
        <w:t>产品标签标志应符合GB/T191、GB7718的规定。</w:t>
      </w:r>
    </w:p>
    <w:p w14:paraId="50FB064B">
      <w:pPr>
        <w:pStyle w:val="104"/>
        <w:spacing w:before="312" w:after="312"/>
      </w:pPr>
      <w:r>
        <w:rPr>
          <w:rFonts w:hint="eastAsia"/>
        </w:rPr>
        <w:t>包装、运输、贮存和保质期</w:t>
      </w:r>
    </w:p>
    <w:p w14:paraId="492D46BC">
      <w:pPr>
        <w:pStyle w:val="56"/>
        <w:ind w:firstLine="420"/>
      </w:pPr>
      <w:r>
        <w:rPr>
          <w:rFonts w:hint="eastAsia"/>
        </w:rPr>
        <w:t>包装应符合GH/T 1070和GB23350的规定，包装容器应干燥、清洁、无异味、无毒、不影响茶叶品质。</w:t>
      </w:r>
    </w:p>
    <w:p w14:paraId="68FF6BD1">
      <w:pPr>
        <w:pStyle w:val="105"/>
        <w:spacing w:before="156" w:after="156"/>
      </w:pPr>
      <w:r>
        <w:rPr>
          <w:rFonts w:hint="eastAsia"/>
        </w:rPr>
        <w:t>运输</w:t>
      </w:r>
    </w:p>
    <w:p w14:paraId="29D822BE">
      <w:pPr>
        <w:pStyle w:val="56"/>
        <w:ind w:firstLine="420"/>
      </w:pPr>
      <w:r>
        <w:rPr>
          <w:rFonts w:hint="eastAsia"/>
        </w:rPr>
        <w:t>运输工具清洁、干燥、阴凉、无异味、无污染；运输时应防潮、防雨、防暴晒；装卸时轻装轻卸，防撞击，防重压，严禁与有毒、有异气味、易污染的物品混装、混运。</w:t>
      </w:r>
    </w:p>
    <w:p w14:paraId="63B9A97D">
      <w:pPr>
        <w:pStyle w:val="105"/>
        <w:spacing w:before="156" w:after="156"/>
      </w:pPr>
      <w:r>
        <w:rPr>
          <w:rFonts w:hint="eastAsia"/>
        </w:rPr>
        <w:t>贮存</w:t>
      </w:r>
    </w:p>
    <w:p w14:paraId="64A811C6">
      <w:pPr>
        <w:pStyle w:val="65"/>
        <w:spacing w:before="156" w:after="156"/>
        <w:rPr>
          <w:rFonts w:hint="eastAsia" w:ascii="宋体" w:hAnsi="宋体" w:eastAsia="宋体"/>
        </w:rPr>
      </w:pPr>
      <w:r>
        <w:rPr>
          <w:rFonts w:hint="eastAsia" w:ascii="宋体" w:hAnsi="宋体" w:eastAsia="宋体"/>
        </w:rPr>
        <w:t>应符合GB/T30375的规定，产品贮存在清洁、干燥、阴凉、通风、无异味的专用仓库中，贮存仓库不使用化学合成的杀虫剂、灭鼠剂及防霉剂，周围及室内应无异味、无污染源</w:t>
      </w:r>
    </w:p>
    <w:p w14:paraId="1EBED251">
      <w:pPr>
        <w:pStyle w:val="105"/>
        <w:spacing w:before="156" w:after="156"/>
      </w:pPr>
      <w:r>
        <w:rPr>
          <w:rFonts w:hint="eastAsia"/>
        </w:rPr>
        <w:t>保质期</w:t>
      </w:r>
    </w:p>
    <w:p w14:paraId="19972ACB">
      <w:pPr>
        <w:pStyle w:val="56"/>
        <w:ind w:firstLine="420"/>
      </w:pPr>
      <w:r>
        <w:rPr>
          <w:rFonts w:hint="eastAsia"/>
        </w:rPr>
        <w:t>保质期由生产者根据产品的类型、包装材料和贮存条件等因素确定。</w:t>
      </w:r>
    </w:p>
    <w:bookmarkEnd w:id="63"/>
    <w:bookmarkEnd w:id="64"/>
    <w:p w14:paraId="57517E85">
      <w:pPr>
        <w:pStyle w:val="56"/>
        <w:ind w:firstLine="420"/>
        <w:sectPr>
          <w:pgSz w:w="11906" w:h="16838"/>
          <w:pgMar w:top="1928" w:right="1134" w:bottom="1134" w:left="1134" w:header="1418" w:footer="1134" w:gutter="284"/>
          <w:pgNumType w:start="1"/>
          <w:cols w:space="425" w:num="1"/>
          <w:formProt w:val="0"/>
          <w:docGrid w:type="lines" w:linePitch="312" w:charSpace="0"/>
        </w:sectPr>
      </w:pPr>
    </w:p>
    <w:bookmarkEnd w:id="23"/>
    <w:p w14:paraId="6C6F86CF">
      <w:pPr>
        <w:pStyle w:val="198"/>
        <w:rPr>
          <w:rFonts w:hint="eastAsia"/>
          <w:vanish w:val="0"/>
        </w:rPr>
      </w:pPr>
      <w:bookmarkStart w:id="65" w:name="BookMark5"/>
    </w:p>
    <w:p w14:paraId="0D93B2E1">
      <w:pPr>
        <w:pStyle w:val="199"/>
        <w:rPr>
          <w:vanish w:val="0"/>
        </w:rPr>
      </w:pPr>
    </w:p>
    <w:p w14:paraId="764228FE">
      <w:pPr>
        <w:pStyle w:val="76"/>
        <w:spacing w:after="156"/>
      </w:pPr>
      <w:r>
        <w:br w:type="textWrapping"/>
      </w:r>
      <w:r>
        <w:rPr>
          <w:rFonts w:hint="eastAsia"/>
        </w:rPr>
        <w:t>（规范性）</w:t>
      </w:r>
      <w:r>
        <w:br w:type="textWrapping"/>
      </w:r>
      <w:bookmarkStart w:id="66" w:name="_Hlk213164029"/>
      <w:r>
        <w:rPr>
          <w:rFonts w:hint="eastAsia"/>
        </w:rPr>
        <w:t>泰山红茶地理标志产品保护范围</w:t>
      </w:r>
      <w:bookmarkEnd w:id="66"/>
    </w:p>
    <w:tbl>
      <w:tblPr>
        <w:tblStyle w:val="27"/>
        <w:tblW w:w="0" w:type="auto"/>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0" w:type="dxa"/>
          <w:bottom w:w="0" w:type="dxa"/>
          <w:right w:w="100" w:type="dxa"/>
        </w:tblCellMar>
      </w:tblPr>
      <w:tblGrid>
        <w:gridCol w:w="9554"/>
      </w:tblGrid>
      <w:tr w14:paraId="1907035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PrEx>
        <w:trPr>
          <w:trHeight w:val="4251" w:hRule="atLeast"/>
          <w:tblHeader/>
          <w:jc w:val="center"/>
        </w:trPr>
        <w:tc>
          <w:tcPr>
            <w:tcW w:w="9344" w:type="dxa"/>
            <w:vAlign w:val="center"/>
          </w:tcPr>
          <w:p w14:paraId="632B8E82">
            <w:pPr>
              <w:pStyle w:val="178"/>
            </w:pPr>
            <w:r>
              <w:drawing>
                <wp:inline distT="0" distB="0" distL="0" distR="0">
                  <wp:extent cx="5939790" cy="3331845"/>
                  <wp:effectExtent l="0" t="0" r="3810" b="1905"/>
                  <wp:docPr id="21290867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86794" name="图片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939790" cy="3331845"/>
                          </a:xfrm>
                          <a:prstGeom prst="rect">
                            <a:avLst/>
                          </a:prstGeom>
                          <a:noFill/>
                          <a:ln>
                            <a:noFill/>
                          </a:ln>
                        </pic:spPr>
                      </pic:pic>
                    </a:graphicData>
                  </a:graphic>
                </wp:inline>
              </w:drawing>
            </w:r>
          </w:p>
        </w:tc>
      </w:tr>
    </w:tbl>
    <w:p w14:paraId="3D1812F2">
      <w:pPr>
        <w:pStyle w:val="56"/>
        <w:ind w:firstLine="420"/>
      </w:pPr>
    </w:p>
    <w:p w14:paraId="5F9BAECB">
      <w:pPr>
        <w:pStyle w:val="83"/>
        <w:spacing w:before="156" w:after="156"/>
      </w:pPr>
      <w:r>
        <w:rPr>
          <w:rFonts w:hint="eastAsia"/>
        </w:rPr>
        <w:t>泰山红茶地理标志产品保护范围示意图</w:t>
      </w:r>
    </w:p>
    <w:p w14:paraId="728D9CA0">
      <w:pPr>
        <w:pStyle w:val="56"/>
        <w:ind w:firstLine="420"/>
      </w:pPr>
    </w:p>
    <w:p w14:paraId="3DBEA222">
      <w:pPr>
        <w:pStyle w:val="56"/>
        <w:ind w:firstLine="420"/>
      </w:pPr>
    </w:p>
    <w:bookmarkEnd w:id="65"/>
    <w:p w14:paraId="555EBD81">
      <w:pPr>
        <w:pStyle w:val="56"/>
        <w:ind w:firstLine="420"/>
      </w:pPr>
    </w:p>
    <w:p w14:paraId="2E98DED2">
      <w:pPr>
        <w:pStyle w:val="56"/>
        <w:ind w:firstLine="420"/>
      </w:pPr>
    </w:p>
    <w:p w14:paraId="39A8F9C7">
      <w:pPr>
        <w:pStyle w:val="56"/>
        <w:ind w:firstLine="3150" w:firstLineChars="1500"/>
      </w:pPr>
      <w:r>
        <w:drawing>
          <wp:inline distT="0" distB="0" distL="0" distR="0">
            <wp:extent cx="1485265" cy="313690"/>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1485714" cy="314286"/>
                    </a:xfrm>
                    <a:prstGeom prst="rect">
                      <a:avLst/>
                    </a:prstGeom>
                  </pic:spPr>
                </pic:pic>
              </a:graphicData>
            </a:graphic>
          </wp:inline>
        </w:drawing>
      </w:r>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B9EC7">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0AA8">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F8B81">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B46CB">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25A0B">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C90CD">
    <w:pPr>
      <w:pStyle w:val="61"/>
      <w:rPr>
        <w:rFonts w:hint="eastAsia"/>
      </w:rPr>
    </w:pPr>
    <w:r>
      <w:fldChar w:fldCharType="begin"/>
    </w:r>
    <w:r>
      <w:instrText xml:space="preserve"> STYLEREF  标准文件_文件编号  \* MERGEFORMAT </w:instrText>
    </w:r>
    <w:r>
      <w:fldChar w:fldCharType="separate"/>
    </w:r>
    <w:r>
      <w:t>DB37/T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3DFFD">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DB37/T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504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525"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WUlH58PfQvjCwStUl4nLJu1JkN3RNp97RAXrE3tPZ660GztLqf2+jHk6M8IUr1JMTI6TNvM+SqGWDu7d8LZjig==" w:salt="5iKGr91aYEQqy4dTVSxkPw=="/>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454"/>
    <w:rsid w:val="000003EA"/>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3B86"/>
    <w:rsid w:val="00033CA5"/>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246"/>
    <w:rsid w:val="00073C8C"/>
    <w:rsid w:val="00077B64"/>
    <w:rsid w:val="00080463"/>
    <w:rsid w:val="00080A1C"/>
    <w:rsid w:val="00082317"/>
    <w:rsid w:val="00083541"/>
    <w:rsid w:val="00083D2C"/>
    <w:rsid w:val="00086AA1"/>
    <w:rsid w:val="00087A77"/>
    <w:rsid w:val="00090CA6"/>
    <w:rsid w:val="00092B8A"/>
    <w:rsid w:val="00092FB0"/>
    <w:rsid w:val="000934C5"/>
    <w:rsid w:val="00093D25"/>
    <w:rsid w:val="00093DAB"/>
    <w:rsid w:val="00093DE5"/>
    <w:rsid w:val="00094D73"/>
    <w:rsid w:val="00096D63"/>
    <w:rsid w:val="000A0B60"/>
    <w:rsid w:val="000A0EB8"/>
    <w:rsid w:val="000A19FC"/>
    <w:rsid w:val="000A296B"/>
    <w:rsid w:val="000A7311"/>
    <w:rsid w:val="000A7ADD"/>
    <w:rsid w:val="000B060F"/>
    <w:rsid w:val="000B0EC4"/>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0EB1"/>
    <w:rsid w:val="00141114"/>
    <w:rsid w:val="00142969"/>
    <w:rsid w:val="001446C2"/>
    <w:rsid w:val="001457E7"/>
    <w:rsid w:val="00145D9D"/>
    <w:rsid w:val="00146388"/>
    <w:rsid w:val="00151161"/>
    <w:rsid w:val="0015225F"/>
    <w:rsid w:val="001529E5"/>
    <w:rsid w:val="00153C7E"/>
    <w:rsid w:val="001553ED"/>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1E0F"/>
    <w:rsid w:val="002253A1"/>
    <w:rsid w:val="00225CF8"/>
    <w:rsid w:val="0022794E"/>
    <w:rsid w:val="00233D64"/>
    <w:rsid w:val="0023482A"/>
    <w:rsid w:val="002359CB"/>
    <w:rsid w:val="002373E1"/>
    <w:rsid w:val="00243540"/>
    <w:rsid w:val="0024497B"/>
    <w:rsid w:val="0024515B"/>
    <w:rsid w:val="00246021"/>
    <w:rsid w:val="0024666E"/>
    <w:rsid w:val="00247F52"/>
    <w:rsid w:val="00250B25"/>
    <w:rsid w:val="00250BBE"/>
    <w:rsid w:val="002515C2"/>
    <w:rsid w:val="0025194F"/>
    <w:rsid w:val="00255C60"/>
    <w:rsid w:val="0026148A"/>
    <w:rsid w:val="00262696"/>
    <w:rsid w:val="00263D25"/>
    <w:rsid w:val="002643C3"/>
    <w:rsid w:val="00264A0C"/>
    <w:rsid w:val="00266EEB"/>
    <w:rsid w:val="00267EF4"/>
    <w:rsid w:val="0027071B"/>
    <w:rsid w:val="00270CB8"/>
    <w:rsid w:val="00272B08"/>
    <w:rsid w:val="00275CC3"/>
    <w:rsid w:val="002771AC"/>
    <w:rsid w:val="00281BB8"/>
    <w:rsid w:val="00281E9E"/>
    <w:rsid w:val="00282405"/>
    <w:rsid w:val="00285170"/>
    <w:rsid w:val="00285361"/>
    <w:rsid w:val="00292D60"/>
    <w:rsid w:val="002937F3"/>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845"/>
    <w:rsid w:val="002B0C40"/>
    <w:rsid w:val="002B1966"/>
    <w:rsid w:val="002B4508"/>
    <w:rsid w:val="002B5779"/>
    <w:rsid w:val="002B7332"/>
    <w:rsid w:val="002B7F51"/>
    <w:rsid w:val="002C09E7"/>
    <w:rsid w:val="002C1E06"/>
    <w:rsid w:val="002C1E1C"/>
    <w:rsid w:val="002C3F07"/>
    <w:rsid w:val="002C5278"/>
    <w:rsid w:val="002C7EBB"/>
    <w:rsid w:val="002D06C1"/>
    <w:rsid w:val="002D3740"/>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0223"/>
    <w:rsid w:val="003221B4"/>
    <w:rsid w:val="0032258D"/>
    <w:rsid w:val="00322E62"/>
    <w:rsid w:val="00324D13"/>
    <w:rsid w:val="00324D2A"/>
    <w:rsid w:val="00324EDD"/>
    <w:rsid w:val="00332002"/>
    <w:rsid w:val="003327A6"/>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BDE"/>
    <w:rsid w:val="00370D58"/>
    <w:rsid w:val="00371316"/>
    <w:rsid w:val="00376713"/>
    <w:rsid w:val="003803A6"/>
    <w:rsid w:val="0038097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604"/>
    <w:rsid w:val="003C0A6C"/>
    <w:rsid w:val="003C14F8"/>
    <w:rsid w:val="003C5A43"/>
    <w:rsid w:val="003D0519"/>
    <w:rsid w:val="003D0FF6"/>
    <w:rsid w:val="003D262C"/>
    <w:rsid w:val="003D5989"/>
    <w:rsid w:val="003D6D61"/>
    <w:rsid w:val="003D79C6"/>
    <w:rsid w:val="003E091D"/>
    <w:rsid w:val="003E1C53"/>
    <w:rsid w:val="003E2A69"/>
    <w:rsid w:val="003E2D49"/>
    <w:rsid w:val="003E2FD4"/>
    <w:rsid w:val="003E49F6"/>
    <w:rsid w:val="003E660F"/>
    <w:rsid w:val="003F0841"/>
    <w:rsid w:val="003F23D3"/>
    <w:rsid w:val="003F32F8"/>
    <w:rsid w:val="003F3F08"/>
    <w:rsid w:val="003F49F1"/>
    <w:rsid w:val="003F4D43"/>
    <w:rsid w:val="003F6272"/>
    <w:rsid w:val="00400E72"/>
    <w:rsid w:val="00401400"/>
    <w:rsid w:val="00404869"/>
    <w:rsid w:val="00405884"/>
    <w:rsid w:val="00407D39"/>
    <w:rsid w:val="0041477A"/>
    <w:rsid w:val="004167A3"/>
    <w:rsid w:val="0042286C"/>
    <w:rsid w:val="00432DAA"/>
    <w:rsid w:val="00434305"/>
    <w:rsid w:val="00435DF7"/>
    <w:rsid w:val="0044083F"/>
    <w:rsid w:val="00441AE7"/>
    <w:rsid w:val="00445574"/>
    <w:rsid w:val="004467FB"/>
    <w:rsid w:val="00452D6B"/>
    <w:rsid w:val="00454484"/>
    <w:rsid w:val="0045517B"/>
    <w:rsid w:val="00457B94"/>
    <w:rsid w:val="00461F1F"/>
    <w:rsid w:val="00463B77"/>
    <w:rsid w:val="00463C7B"/>
    <w:rsid w:val="004644A6"/>
    <w:rsid w:val="004659BD"/>
    <w:rsid w:val="00470775"/>
    <w:rsid w:val="004746B1"/>
    <w:rsid w:val="0047583F"/>
    <w:rsid w:val="00475DE8"/>
    <w:rsid w:val="00481C19"/>
    <w:rsid w:val="00481C44"/>
    <w:rsid w:val="00484936"/>
    <w:rsid w:val="00485C89"/>
    <w:rsid w:val="00486BE3"/>
    <w:rsid w:val="004905E4"/>
    <w:rsid w:val="00490A89"/>
    <w:rsid w:val="00490AB4"/>
    <w:rsid w:val="00492F02"/>
    <w:rsid w:val="004939AE"/>
    <w:rsid w:val="004A12DF"/>
    <w:rsid w:val="004A17E6"/>
    <w:rsid w:val="004A1BA8"/>
    <w:rsid w:val="004A221E"/>
    <w:rsid w:val="004A4B57"/>
    <w:rsid w:val="004A63FA"/>
    <w:rsid w:val="004B0272"/>
    <w:rsid w:val="004B2701"/>
    <w:rsid w:val="004B2E1B"/>
    <w:rsid w:val="004B3AA8"/>
    <w:rsid w:val="004B3E93"/>
    <w:rsid w:val="004B6234"/>
    <w:rsid w:val="004B7506"/>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E7BE4"/>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19FF"/>
    <w:rsid w:val="0056487B"/>
    <w:rsid w:val="00564FB9"/>
    <w:rsid w:val="00573375"/>
    <w:rsid w:val="00573D9E"/>
    <w:rsid w:val="005801E3"/>
    <w:rsid w:val="00581802"/>
    <w:rsid w:val="005836A8"/>
    <w:rsid w:val="0058409C"/>
    <w:rsid w:val="00584262"/>
    <w:rsid w:val="00586630"/>
    <w:rsid w:val="00587ADD"/>
    <w:rsid w:val="00591E27"/>
    <w:rsid w:val="00593E90"/>
    <w:rsid w:val="005947C3"/>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11E4"/>
    <w:rsid w:val="005E2335"/>
    <w:rsid w:val="005E34CA"/>
    <w:rsid w:val="005E3C18"/>
    <w:rsid w:val="005E3C19"/>
    <w:rsid w:val="005E6812"/>
    <w:rsid w:val="005E7881"/>
    <w:rsid w:val="005E78E0"/>
    <w:rsid w:val="005F0D9C"/>
    <w:rsid w:val="005F284E"/>
    <w:rsid w:val="005F4712"/>
    <w:rsid w:val="006015CE"/>
    <w:rsid w:val="00603F7C"/>
    <w:rsid w:val="00604784"/>
    <w:rsid w:val="00606419"/>
    <w:rsid w:val="00607D29"/>
    <w:rsid w:val="00612952"/>
    <w:rsid w:val="00614CC1"/>
    <w:rsid w:val="00615A9D"/>
    <w:rsid w:val="00617387"/>
    <w:rsid w:val="006205D6"/>
    <w:rsid w:val="006252D8"/>
    <w:rsid w:val="006259BC"/>
    <w:rsid w:val="0062636B"/>
    <w:rsid w:val="00627150"/>
    <w:rsid w:val="0063200A"/>
    <w:rsid w:val="00632182"/>
    <w:rsid w:val="00632AE0"/>
    <w:rsid w:val="00633BB3"/>
    <w:rsid w:val="00633C17"/>
    <w:rsid w:val="00634D9E"/>
    <w:rsid w:val="00636E3E"/>
    <w:rsid w:val="006379F7"/>
    <w:rsid w:val="00637E4D"/>
    <w:rsid w:val="00640620"/>
    <w:rsid w:val="00641A1F"/>
    <w:rsid w:val="00641DB1"/>
    <w:rsid w:val="00643525"/>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65643"/>
    <w:rsid w:val="00672060"/>
    <w:rsid w:val="00672BFD"/>
    <w:rsid w:val="006770F4"/>
    <w:rsid w:val="00677A84"/>
    <w:rsid w:val="0068026D"/>
    <w:rsid w:val="00680627"/>
    <w:rsid w:val="00680A27"/>
    <w:rsid w:val="006816A4"/>
    <w:rsid w:val="006819B8"/>
    <w:rsid w:val="006840A6"/>
    <w:rsid w:val="006850CD"/>
    <w:rsid w:val="00685AAB"/>
    <w:rsid w:val="00695D22"/>
    <w:rsid w:val="006A07AA"/>
    <w:rsid w:val="006A25E5"/>
    <w:rsid w:val="006A2B46"/>
    <w:rsid w:val="006A336D"/>
    <w:rsid w:val="006A37B9"/>
    <w:rsid w:val="006B0B12"/>
    <w:rsid w:val="006B2672"/>
    <w:rsid w:val="006B54BF"/>
    <w:rsid w:val="006B5F44"/>
    <w:rsid w:val="006B5F90"/>
    <w:rsid w:val="006B62E4"/>
    <w:rsid w:val="006C1BBA"/>
    <w:rsid w:val="006C2079"/>
    <w:rsid w:val="006C337D"/>
    <w:rsid w:val="006C5A62"/>
    <w:rsid w:val="006C5D68"/>
    <w:rsid w:val="006C6976"/>
    <w:rsid w:val="006C6DD0"/>
    <w:rsid w:val="006D04EA"/>
    <w:rsid w:val="006D09BC"/>
    <w:rsid w:val="006D0AB7"/>
    <w:rsid w:val="006D16C4"/>
    <w:rsid w:val="006D3E96"/>
    <w:rsid w:val="006D4515"/>
    <w:rsid w:val="006D4BB1"/>
    <w:rsid w:val="006D6593"/>
    <w:rsid w:val="006D6ED3"/>
    <w:rsid w:val="006E23EA"/>
    <w:rsid w:val="006F03A8"/>
    <w:rsid w:val="006F2ACA"/>
    <w:rsid w:val="006F2ADC"/>
    <w:rsid w:val="006F2BFE"/>
    <w:rsid w:val="006F31E9"/>
    <w:rsid w:val="006F36B4"/>
    <w:rsid w:val="006F6284"/>
    <w:rsid w:val="007002C5"/>
    <w:rsid w:val="007016C8"/>
    <w:rsid w:val="00704387"/>
    <w:rsid w:val="00707669"/>
    <w:rsid w:val="00707EE1"/>
    <w:rsid w:val="00711CBA"/>
    <w:rsid w:val="00711FB5"/>
    <w:rsid w:val="00712965"/>
    <w:rsid w:val="00712A01"/>
    <w:rsid w:val="00714F58"/>
    <w:rsid w:val="00716CEA"/>
    <w:rsid w:val="00722FBF"/>
    <w:rsid w:val="00722FC2"/>
    <w:rsid w:val="00724879"/>
    <w:rsid w:val="00724E1B"/>
    <w:rsid w:val="00725949"/>
    <w:rsid w:val="00727FA2"/>
    <w:rsid w:val="007322D9"/>
    <w:rsid w:val="00732BC0"/>
    <w:rsid w:val="0073720F"/>
    <w:rsid w:val="00737733"/>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108C"/>
    <w:rsid w:val="00773C1F"/>
    <w:rsid w:val="00774DA4"/>
    <w:rsid w:val="00776599"/>
    <w:rsid w:val="0078114B"/>
    <w:rsid w:val="00781DD2"/>
    <w:rsid w:val="00783ECF"/>
    <w:rsid w:val="0078413A"/>
    <w:rsid w:val="007959E8"/>
    <w:rsid w:val="00795E9C"/>
    <w:rsid w:val="007A0521"/>
    <w:rsid w:val="007A2E12"/>
    <w:rsid w:val="007A3475"/>
    <w:rsid w:val="007A3918"/>
    <w:rsid w:val="007A41C8"/>
    <w:rsid w:val="007A54CE"/>
    <w:rsid w:val="007A6FD9"/>
    <w:rsid w:val="007A7FFA"/>
    <w:rsid w:val="007B04EB"/>
    <w:rsid w:val="007B0D4F"/>
    <w:rsid w:val="007B49C1"/>
    <w:rsid w:val="007B5A3D"/>
    <w:rsid w:val="007B5B95"/>
    <w:rsid w:val="007B68EA"/>
    <w:rsid w:val="007B7453"/>
    <w:rsid w:val="007C1E8B"/>
    <w:rsid w:val="007C2D89"/>
    <w:rsid w:val="007C4593"/>
    <w:rsid w:val="007C52FA"/>
    <w:rsid w:val="007C5309"/>
    <w:rsid w:val="007C6069"/>
    <w:rsid w:val="007C7AD9"/>
    <w:rsid w:val="007D06C4"/>
    <w:rsid w:val="007D1352"/>
    <w:rsid w:val="007D2508"/>
    <w:rsid w:val="007D346A"/>
    <w:rsid w:val="007D6518"/>
    <w:rsid w:val="007D76BD"/>
    <w:rsid w:val="007E0BF1"/>
    <w:rsid w:val="007E2D04"/>
    <w:rsid w:val="007E5454"/>
    <w:rsid w:val="007F0042"/>
    <w:rsid w:val="007F0ED8"/>
    <w:rsid w:val="007F0F63"/>
    <w:rsid w:val="007F19C8"/>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973"/>
    <w:rsid w:val="008373D3"/>
    <w:rsid w:val="00840617"/>
    <w:rsid w:val="00840F84"/>
    <w:rsid w:val="00842A47"/>
    <w:rsid w:val="00843C13"/>
    <w:rsid w:val="008454F8"/>
    <w:rsid w:val="0085173A"/>
    <w:rsid w:val="00856316"/>
    <w:rsid w:val="008603CE"/>
    <w:rsid w:val="008620FC"/>
    <w:rsid w:val="008627A5"/>
    <w:rsid w:val="00863E05"/>
    <w:rsid w:val="00865ACA"/>
    <w:rsid w:val="00865B11"/>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3A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02E"/>
    <w:rsid w:val="00902722"/>
    <w:rsid w:val="009027BC"/>
    <w:rsid w:val="009062E6"/>
    <w:rsid w:val="009067C2"/>
    <w:rsid w:val="00911BE5"/>
    <w:rsid w:val="00913CA9"/>
    <w:rsid w:val="009145AE"/>
    <w:rsid w:val="009146CE"/>
    <w:rsid w:val="00914CA7"/>
    <w:rsid w:val="00915C3E"/>
    <w:rsid w:val="009161A8"/>
    <w:rsid w:val="009245F5"/>
    <w:rsid w:val="009249EC"/>
    <w:rsid w:val="00927259"/>
    <w:rsid w:val="009273B3"/>
    <w:rsid w:val="009305B5"/>
    <w:rsid w:val="00937D9F"/>
    <w:rsid w:val="009429D5"/>
    <w:rsid w:val="00942BF1"/>
    <w:rsid w:val="00945180"/>
    <w:rsid w:val="00945428"/>
    <w:rsid w:val="0094607B"/>
    <w:rsid w:val="00953604"/>
    <w:rsid w:val="0095496B"/>
    <w:rsid w:val="009568E8"/>
    <w:rsid w:val="009610DC"/>
    <w:rsid w:val="00961490"/>
    <w:rsid w:val="0096381A"/>
    <w:rsid w:val="00965E04"/>
    <w:rsid w:val="009674AD"/>
    <w:rsid w:val="00970CDC"/>
    <w:rsid w:val="009753B9"/>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5825"/>
    <w:rsid w:val="009A72AD"/>
    <w:rsid w:val="009B09E0"/>
    <w:rsid w:val="009B0BC5"/>
    <w:rsid w:val="009B1247"/>
    <w:rsid w:val="009B3CDE"/>
    <w:rsid w:val="009B46F9"/>
    <w:rsid w:val="009B6029"/>
    <w:rsid w:val="009B6971"/>
    <w:rsid w:val="009C27F1"/>
    <w:rsid w:val="009C3152"/>
    <w:rsid w:val="009C4CFA"/>
    <w:rsid w:val="009C5070"/>
    <w:rsid w:val="009D09C4"/>
    <w:rsid w:val="009D112C"/>
    <w:rsid w:val="009D47FA"/>
    <w:rsid w:val="009D4C5B"/>
    <w:rsid w:val="009D50D2"/>
    <w:rsid w:val="009D6BCA"/>
    <w:rsid w:val="009E0F62"/>
    <w:rsid w:val="009E4A58"/>
    <w:rsid w:val="009E5A2D"/>
    <w:rsid w:val="009E5AB2"/>
    <w:rsid w:val="009E6219"/>
    <w:rsid w:val="009F03B3"/>
    <w:rsid w:val="009F711E"/>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AF729F"/>
    <w:rsid w:val="00B049AF"/>
    <w:rsid w:val="00B07242"/>
    <w:rsid w:val="00B10534"/>
    <w:rsid w:val="00B113DB"/>
    <w:rsid w:val="00B1164A"/>
    <w:rsid w:val="00B11D8A"/>
    <w:rsid w:val="00B12981"/>
    <w:rsid w:val="00B147DD"/>
    <w:rsid w:val="00B156FD"/>
    <w:rsid w:val="00B21F61"/>
    <w:rsid w:val="00B261F1"/>
    <w:rsid w:val="00B265BC"/>
    <w:rsid w:val="00B31FB1"/>
    <w:rsid w:val="00B33952"/>
    <w:rsid w:val="00B33C5E"/>
    <w:rsid w:val="00B342F4"/>
    <w:rsid w:val="00B34369"/>
    <w:rsid w:val="00B34DC2"/>
    <w:rsid w:val="00B35E47"/>
    <w:rsid w:val="00B378E5"/>
    <w:rsid w:val="00B4346D"/>
    <w:rsid w:val="00B43648"/>
    <w:rsid w:val="00B440F4"/>
    <w:rsid w:val="00B447A5"/>
    <w:rsid w:val="00B4654C"/>
    <w:rsid w:val="00B46AF0"/>
    <w:rsid w:val="00B47293"/>
    <w:rsid w:val="00B50E50"/>
    <w:rsid w:val="00B52120"/>
    <w:rsid w:val="00B54ABC"/>
    <w:rsid w:val="00B54DDE"/>
    <w:rsid w:val="00B56FBE"/>
    <w:rsid w:val="00B60744"/>
    <w:rsid w:val="00B60ACF"/>
    <w:rsid w:val="00B623D0"/>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407"/>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3FF4"/>
    <w:rsid w:val="00C206BC"/>
    <w:rsid w:val="00C21540"/>
    <w:rsid w:val="00C21906"/>
    <w:rsid w:val="00C21BFA"/>
    <w:rsid w:val="00C22148"/>
    <w:rsid w:val="00C24C8D"/>
    <w:rsid w:val="00C25FE2"/>
    <w:rsid w:val="00C26B53"/>
    <w:rsid w:val="00C26CF0"/>
    <w:rsid w:val="00C279B2"/>
    <w:rsid w:val="00C33E50"/>
    <w:rsid w:val="00C34C20"/>
    <w:rsid w:val="00C35A3E"/>
    <w:rsid w:val="00C37DFC"/>
    <w:rsid w:val="00C42130"/>
    <w:rsid w:val="00C423A4"/>
    <w:rsid w:val="00C44BF5"/>
    <w:rsid w:val="00C50119"/>
    <w:rsid w:val="00C501E0"/>
    <w:rsid w:val="00C521D6"/>
    <w:rsid w:val="00C52925"/>
    <w:rsid w:val="00C53A77"/>
    <w:rsid w:val="00C55232"/>
    <w:rsid w:val="00C553A4"/>
    <w:rsid w:val="00C55A06"/>
    <w:rsid w:val="00C55D03"/>
    <w:rsid w:val="00C601BC"/>
    <w:rsid w:val="00C6329F"/>
    <w:rsid w:val="00C63340"/>
    <w:rsid w:val="00C634DC"/>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67B9"/>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D5E79"/>
    <w:rsid w:val="00CE0C4F"/>
    <w:rsid w:val="00CE30EA"/>
    <w:rsid w:val="00CF048A"/>
    <w:rsid w:val="00CF155A"/>
    <w:rsid w:val="00CF2947"/>
    <w:rsid w:val="00CF686F"/>
    <w:rsid w:val="00CF6E60"/>
    <w:rsid w:val="00CF7BCA"/>
    <w:rsid w:val="00D008FD"/>
    <w:rsid w:val="00D02B59"/>
    <w:rsid w:val="00D0321C"/>
    <w:rsid w:val="00D035EC"/>
    <w:rsid w:val="00D06AB1"/>
    <w:rsid w:val="00D072ED"/>
    <w:rsid w:val="00D07A16"/>
    <w:rsid w:val="00D1067E"/>
    <w:rsid w:val="00D10F50"/>
    <w:rsid w:val="00D11272"/>
    <w:rsid w:val="00D126F5"/>
    <w:rsid w:val="00D1489E"/>
    <w:rsid w:val="00D16886"/>
    <w:rsid w:val="00D20737"/>
    <w:rsid w:val="00D21E81"/>
    <w:rsid w:val="00D223DE"/>
    <w:rsid w:val="00D25E37"/>
    <w:rsid w:val="00D2661A"/>
    <w:rsid w:val="00D27582"/>
    <w:rsid w:val="00D27EC4"/>
    <w:rsid w:val="00D31544"/>
    <w:rsid w:val="00D32719"/>
    <w:rsid w:val="00D33333"/>
    <w:rsid w:val="00D33457"/>
    <w:rsid w:val="00D352A2"/>
    <w:rsid w:val="00D3660F"/>
    <w:rsid w:val="00D4162B"/>
    <w:rsid w:val="00D4514F"/>
    <w:rsid w:val="00D451E2"/>
    <w:rsid w:val="00D45E89"/>
    <w:rsid w:val="00D45E8D"/>
    <w:rsid w:val="00D465D1"/>
    <w:rsid w:val="00D466AE"/>
    <w:rsid w:val="00D4734F"/>
    <w:rsid w:val="00D51BF3"/>
    <w:rsid w:val="00D549F3"/>
    <w:rsid w:val="00D66846"/>
    <w:rsid w:val="00D675FB"/>
    <w:rsid w:val="00D71F25"/>
    <w:rsid w:val="00D72A9C"/>
    <w:rsid w:val="00D77031"/>
    <w:rsid w:val="00D84941"/>
    <w:rsid w:val="00D84FA1"/>
    <w:rsid w:val="00D851F0"/>
    <w:rsid w:val="00D860FB"/>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38EE"/>
    <w:rsid w:val="00DB498B"/>
    <w:rsid w:val="00DB66CA"/>
    <w:rsid w:val="00DB69B6"/>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4DE8"/>
    <w:rsid w:val="00DE6E81"/>
    <w:rsid w:val="00DE703F"/>
    <w:rsid w:val="00DE7595"/>
    <w:rsid w:val="00DF1961"/>
    <w:rsid w:val="00DF44DE"/>
    <w:rsid w:val="00DF5F11"/>
    <w:rsid w:val="00E01138"/>
    <w:rsid w:val="00E02DFB"/>
    <w:rsid w:val="00E030F9"/>
    <w:rsid w:val="00E0311A"/>
    <w:rsid w:val="00E03138"/>
    <w:rsid w:val="00E06404"/>
    <w:rsid w:val="00E065D2"/>
    <w:rsid w:val="00E10EC0"/>
    <w:rsid w:val="00E11A85"/>
    <w:rsid w:val="00E12495"/>
    <w:rsid w:val="00E15CCD"/>
    <w:rsid w:val="00E202EF"/>
    <w:rsid w:val="00E210B5"/>
    <w:rsid w:val="00E2275C"/>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36"/>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5A3"/>
    <w:rsid w:val="00EB17DE"/>
    <w:rsid w:val="00EB1E69"/>
    <w:rsid w:val="00EB2086"/>
    <w:rsid w:val="00EB5EDF"/>
    <w:rsid w:val="00EB60FE"/>
    <w:rsid w:val="00EB74DB"/>
    <w:rsid w:val="00EC5359"/>
    <w:rsid w:val="00EC562A"/>
    <w:rsid w:val="00ED067A"/>
    <w:rsid w:val="00ED2B50"/>
    <w:rsid w:val="00ED419A"/>
    <w:rsid w:val="00ED4858"/>
    <w:rsid w:val="00ED6234"/>
    <w:rsid w:val="00EE0350"/>
    <w:rsid w:val="00EE0719"/>
    <w:rsid w:val="00EE0E80"/>
    <w:rsid w:val="00EE54A6"/>
    <w:rsid w:val="00EE5776"/>
    <w:rsid w:val="00EE613F"/>
    <w:rsid w:val="00EE7295"/>
    <w:rsid w:val="00EE7869"/>
    <w:rsid w:val="00EF054A"/>
    <w:rsid w:val="00EF3235"/>
    <w:rsid w:val="00EF7E72"/>
    <w:rsid w:val="00F06D37"/>
    <w:rsid w:val="00F07B9D"/>
    <w:rsid w:val="00F11553"/>
    <w:rsid w:val="00F11586"/>
    <w:rsid w:val="00F1183B"/>
    <w:rsid w:val="00F11C9F"/>
    <w:rsid w:val="00F12263"/>
    <w:rsid w:val="00F1409D"/>
    <w:rsid w:val="00F14214"/>
    <w:rsid w:val="00F157A9"/>
    <w:rsid w:val="00F25BB6"/>
    <w:rsid w:val="00F26B7E"/>
    <w:rsid w:val="00F27A3B"/>
    <w:rsid w:val="00F3279F"/>
    <w:rsid w:val="00F33817"/>
    <w:rsid w:val="00F36092"/>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891"/>
    <w:rsid w:val="00F71E22"/>
    <w:rsid w:val="00F72142"/>
    <w:rsid w:val="00F72AE7"/>
    <w:rsid w:val="00F8037C"/>
    <w:rsid w:val="00F81141"/>
    <w:rsid w:val="00F8290A"/>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28A"/>
    <w:rsid w:val="00FA662D"/>
    <w:rsid w:val="00FA73B1"/>
    <w:rsid w:val="00FB0CB9"/>
    <w:rsid w:val="00FB231D"/>
    <w:rsid w:val="00FB45F1"/>
    <w:rsid w:val="00FB4A72"/>
    <w:rsid w:val="00FB54E8"/>
    <w:rsid w:val="00FB7054"/>
    <w:rsid w:val="00FB7FB8"/>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201444A7"/>
    <w:rsid w:val="254D1B3F"/>
    <w:rsid w:val="2D53231B"/>
    <w:rsid w:val="5FCB73C2"/>
    <w:rsid w:val="730B6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uiPriority="39" w:semiHidden="0" w:name="toc 4"/>
    <w:lsdException w:qFormat="1" w:uiPriority="39" w:semiHidden="0" w:name="toc 5"/>
    <w:lsdException w:qFormat="1" w:uiPriority="39" w:semiHidden="0" w:name="toc 6"/>
    <w:lsdException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ind w:left="0"/>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ind w:left="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Times New Roman"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style>
  <w:style w:type="paragraph" w:customStyle="1" w:styleId="189">
    <w:name w:val="标准文件_一级项2"/>
    <w:basedOn w:val="56"/>
    <w:qFormat/>
    <w:uiPriority w:val="0"/>
    <w:pPr>
      <w:numPr>
        <w:ilvl w:val="0"/>
        <w:numId w:val="31"/>
      </w:numPr>
      <w:spacing w:line="300" w:lineRule="exact"/>
      <w:ind w:firstLineChars="0"/>
    </w:p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D0C9F034DDB43BCA921E83C025A607A"/>
        <w:style w:val=""/>
        <w:category>
          <w:name w:val="常规"/>
          <w:gallery w:val="placeholder"/>
        </w:category>
        <w:types>
          <w:type w:val="bbPlcHdr"/>
        </w:types>
        <w:behaviors>
          <w:behavior w:val="content"/>
        </w:behaviors>
        <w:description w:val=""/>
        <w:guid w:val="{20D7A6F3-1ED3-4845-9934-D52FFADA757F}"/>
      </w:docPartPr>
      <w:docPartBody>
        <w:p w14:paraId="6EE74531">
          <w:pPr>
            <w:pStyle w:val="5"/>
            <w:rPr>
              <w:rFonts w:hint="eastAsia"/>
            </w:rPr>
          </w:pPr>
          <w:r>
            <w:rPr>
              <w:rStyle w:val="4"/>
              <w:rFonts w:hint="eastAsia"/>
            </w:rPr>
            <w:t>单击或点击此处输入文字。</w:t>
          </w:r>
        </w:p>
      </w:docPartBody>
    </w:docPart>
    <w:docPart>
      <w:docPartPr>
        <w:name w:val="7C41B1FE01EF46E3B4775FD0DB436FF6"/>
        <w:style w:val=""/>
        <w:category>
          <w:name w:val="常规"/>
          <w:gallery w:val="placeholder"/>
        </w:category>
        <w:types>
          <w:type w:val="bbPlcHdr"/>
        </w:types>
        <w:behaviors>
          <w:behavior w:val="content"/>
        </w:behaviors>
        <w:description w:val=""/>
        <w:guid w:val="{585281F7-4ED5-4CEE-8391-B94538A61913}"/>
      </w:docPartPr>
      <w:docPartBody>
        <w:p w14:paraId="56450EBA">
          <w:pPr>
            <w:pStyle w:val="6"/>
            <w:rPr>
              <w:rFonts w:hint="eastAsia"/>
            </w:rPr>
          </w:pPr>
          <w:r>
            <w:rPr>
              <w:rStyle w:val="4"/>
              <w:rFonts w:hint="eastAsia"/>
            </w:rPr>
            <w:t>选择一项。</w:t>
          </w:r>
        </w:p>
      </w:docPartBody>
    </w:docPart>
    <w:docPart>
      <w:docPartPr>
        <w:name w:val="5D672D7F9057471B9F513AD58C06A425"/>
        <w:style w:val=""/>
        <w:category>
          <w:name w:val="常规"/>
          <w:gallery w:val="placeholder"/>
        </w:category>
        <w:types>
          <w:type w:val="bbPlcHdr"/>
        </w:types>
        <w:behaviors>
          <w:behavior w:val="content"/>
        </w:behaviors>
        <w:description w:val=""/>
        <w:guid w:val="{D395A832-0BFE-4E42-96E8-39B5081E7793}"/>
      </w:docPartPr>
      <w:docPartBody>
        <w:p w14:paraId="35C79041">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A4E"/>
    <w:rsid w:val="00080463"/>
    <w:rsid w:val="00143A74"/>
    <w:rsid w:val="00255C60"/>
    <w:rsid w:val="00292A29"/>
    <w:rsid w:val="002E4096"/>
    <w:rsid w:val="003A42D8"/>
    <w:rsid w:val="003F32F8"/>
    <w:rsid w:val="0042286C"/>
    <w:rsid w:val="00441310"/>
    <w:rsid w:val="00495B84"/>
    <w:rsid w:val="004A42FC"/>
    <w:rsid w:val="0051788E"/>
    <w:rsid w:val="005369B8"/>
    <w:rsid w:val="00643525"/>
    <w:rsid w:val="00651BD9"/>
    <w:rsid w:val="00661782"/>
    <w:rsid w:val="00665643"/>
    <w:rsid w:val="00707EE1"/>
    <w:rsid w:val="00765E0B"/>
    <w:rsid w:val="007D59F7"/>
    <w:rsid w:val="008C3A9C"/>
    <w:rsid w:val="008D4EA9"/>
    <w:rsid w:val="00923946"/>
    <w:rsid w:val="00B1164A"/>
    <w:rsid w:val="00B60744"/>
    <w:rsid w:val="00C13FF4"/>
    <w:rsid w:val="00C50119"/>
    <w:rsid w:val="00D66A4E"/>
    <w:rsid w:val="00D9252B"/>
    <w:rsid w:val="00DB69B6"/>
    <w:rsid w:val="00DF4F65"/>
    <w:rsid w:val="00E05F7B"/>
    <w:rsid w:val="00F11553"/>
    <w:rsid w:val="00F27D14"/>
    <w:rsid w:val="00FC5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7D0C9F034DDB43BCA921E83C025A607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7C41B1FE01EF46E3B4775FD0DB436FF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5D672D7F9057471B9F513AD58C06A42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5D9EFB-D29B-42B4-ACCB-25B7A6631894}">
  <ds:schemaRefs/>
</ds:datastoreItem>
</file>

<file path=docProps/app.xml><?xml version="1.0" encoding="utf-8"?>
<Properties xmlns="http://schemas.openxmlformats.org/officeDocument/2006/extended-properties" xmlns:vt="http://schemas.openxmlformats.org/officeDocument/2006/docPropsVTypes">
  <Template>地方标准.dotx</Template>
  <Company>微软中国</Company>
  <Pages>10</Pages>
  <Words>66</Words>
  <Characters>173</Characters>
  <Lines>180</Lines>
  <Paragraphs>232</Paragraphs>
  <TotalTime>14</TotalTime>
  <ScaleCrop>false</ScaleCrop>
  <LinksUpToDate>false</LinksUpToDate>
  <CharactersWithSpaces>192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2025-12-25T07:17:00Z</dcterms:created>
  <dc:creator>sqf</dc:creator>
  <cp:lastModifiedBy>企业用户_1280774658</cp:lastModifiedBy>
  <cp:lastPrinted>2020-08-30T10:00:00Z</cp:lastPrinted>
  <dcterms:modified xsi:type="dcterms:W3CDTF">2026-11-04T03:38:50Z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E8EBFE91C613442EABDAE045A17B0D6B_13</vt:lpwstr>
  </property>
  <property fmtid="{D5CDD505-2E9C-101B-9397-08002B2CF9AE}" pid="16" name="KSOTemplateDocerSaveRecord">
    <vt:lpwstr>eyJoZGlkIjoiZjMyYjIyNjFkMWYzZDNkZjgyM2Y0Y2ZkM2VkYmU0NTQiLCJ1c2VySWQiOiIxNTE3NjIzNzA1In0=</vt:lpwstr>
  </property>
</Properties>
</file>